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360" w:lineRule="exact"/>
      </w:pPr>
      <w:r>
        <w:drawing>
          <wp:anchor distT="0" distB="0" distL="0" distR="0" simplePos="0" relativeHeight="62914690" behindDoc="1" locked="0" layoutInCell="1" allowOverlap="1">
            <wp:simplePos x="0" y="0"/>
            <wp:positionH relativeFrom="page">
              <wp:posOffset>3601085</wp:posOffset>
            </wp:positionH>
            <wp:positionV relativeFrom="margin">
              <wp:posOffset>0</wp:posOffset>
            </wp:positionV>
            <wp:extent cx="707390" cy="841375"/>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707390" cy="841375"/>
                    </a:xfrm>
                    <a:prstGeom prst="rect"/>
                  </pic:spPr>
                </pic:pic>
              </a:graphicData>
            </a:graphic>
          </wp:anchor>
        </w:drawing>
      </w:r>
    </w:p>
    <w:p>
      <w:pPr>
        <w:widowControl w:val="0"/>
        <w:spacing w:line="360" w:lineRule="exact"/>
      </w:pPr>
    </w:p>
    <w:p>
      <w:pPr>
        <w:widowControl w:val="0"/>
        <w:spacing w:after="604" w:line="1" w:lineRule="exact"/>
      </w:pPr>
    </w:p>
    <w:p>
      <w:pPr>
        <w:widowControl w:val="0"/>
        <w:spacing w:line="1" w:lineRule="exact"/>
        <w:sectPr>
          <w:footnotePr>
            <w:pos w:val="pageBottom"/>
            <w:numFmt w:val="decimal"/>
            <w:numRestart w:val="continuous"/>
          </w:footnotePr>
          <w:pgSz w:w="11900" w:h="16840"/>
          <w:pgMar w:top="570" w:right="853" w:bottom="3936" w:left="1543" w:header="142" w:footer="3508" w:gutter="0"/>
          <w:pgNumType w:start="1"/>
          <w:cols w:space="720"/>
          <w:noEndnote/>
          <w:rtlGutter w:val="0"/>
          <w:docGrid w:linePitch="360"/>
        </w:sectPr>
      </w:pPr>
    </w:p>
    <w:p>
      <w:pPr>
        <w:widowControl w:val="0"/>
        <w:spacing w:line="239" w:lineRule="exact"/>
        <w:rPr>
          <w:sz w:val="19"/>
          <w:szCs w:val="19"/>
        </w:rPr>
      </w:pPr>
    </w:p>
    <w:p>
      <w:pPr>
        <w:widowControl w:val="0"/>
        <w:spacing w:line="1" w:lineRule="exact"/>
        <w:sectPr>
          <w:footnotePr>
            <w:pos w:val="pageBottom"/>
            <w:numFmt w:val="decimal"/>
            <w:numRestart w:val="continuous"/>
          </w:footnotePr>
          <w:type w:val="continuous"/>
          <w:pgSz w:w="11900" w:h="16840"/>
          <w:pgMar w:top="570" w:right="0" w:bottom="570" w:left="0" w:header="0" w:footer="3" w:gutter="0"/>
          <w:cols w:space="720"/>
          <w:noEndnote/>
          <w:rtlGutter w:val="0"/>
          <w:docGrid w:linePitch="360"/>
        </w:sectPr>
      </w:pPr>
    </w:p>
    <w:p>
      <w:pPr>
        <w:pStyle w:val="Style8"/>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ru-RU" w:eastAsia="ru-RU" w:bidi="ru-RU"/>
        </w:rPr>
        <w:t>ПРАВИТЕЛЬСТВО ОМСКОЙ ОБЛАСТИ</w:t>
      </w:r>
    </w:p>
    <w:p>
      <w:pPr>
        <w:pStyle w:val="Style10"/>
        <w:keepNext/>
        <w:keepLines/>
        <w:widowControl w:val="0"/>
        <w:shd w:val="clear" w:color="auto" w:fill="auto"/>
        <w:bidi w:val="0"/>
        <w:spacing w:before="0" w:line="240" w:lineRule="auto"/>
        <w:ind w:left="0" w:right="0" w:firstLine="0"/>
        <w:jc w:val="center"/>
      </w:pPr>
      <w:bookmarkStart w:id="0" w:name="bookmark0"/>
      <w:r>
        <w:rPr>
          <w:color w:val="000000"/>
          <w:spacing w:val="0"/>
          <w:w w:val="100"/>
          <w:position w:val="0"/>
          <w:shd w:val="clear" w:color="auto" w:fill="auto"/>
          <w:lang w:val="ru-RU" w:eastAsia="ru-RU" w:bidi="ru-RU"/>
        </w:rPr>
        <w:t>ПОСТАНОВЛЕНИЕ</w:t>
      </w:r>
      <w:bookmarkEnd w:id="0"/>
    </w:p>
    <w:p>
      <w:pPr>
        <w:pStyle w:val="Style4"/>
        <w:keepNext w:val="0"/>
        <w:keepLines w:val="0"/>
        <w:widowControl w:val="0"/>
        <w:pBdr>
          <w:bottom w:val="single" w:sz="4" w:space="0" w:color="auto"/>
        </w:pBdr>
        <w:shd w:val="clear" w:color="auto" w:fill="auto"/>
        <w:bidi w:val="0"/>
        <w:spacing w:before="0" w:after="120" w:line="240" w:lineRule="auto"/>
        <w:ind w:left="0" w:right="0" w:firstLine="0"/>
        <w:jc w:val="left"/>
      </w:pPr>
      <w:r>
        <mc:AlternateContent>
          <mc:Choice Requires="wps">
            <w:drawing>
              <wp:anchor distT="0" distB="0" distL="114300" distR="114300" simplePos="0" relativeHeight="125829378" behindDoc="0" locked="0" layoutInCell="1" allowOverlap="1">
                <wp:simplePos x="0" y="0"/>
                <wp:positionH relativeFrom="page">
                  <wp:posOffset>5789295</wp:posOffset>
                </wp:positionH>
                <wp:positionV relativeFrom="paragraph">
                  <wp:posOffset>12700</wp:posOffset>
                </wp:positionV>
                <wp:extent cx="457200" cy="216535"/>
                <wp:wrapSquare wrapText="left"/>
                <wp:docPr id="3" name="Shape 3"/>
                <a:graphic xmlns:a="http://schemas.openxmlformats.org/drawingml/2006/main">
                  <a:graphicData uri="http://schemas.microsoft.com/office/word/2010/wordprocessingShape">
                    <wps:wsp>
                      <wps:cNvSpPr txBox="1"/>
                      <wps:spPr>
                        <a:xfrm>
                          <a:ext cx="457200" cy="216535"/>
                        </a:xfrm>
                        <a:prstGeom prst="rect"/>
                        <a:noFill/>
                      </wps:spPr>
                      <wps:txbx>
                        <w:txbxContent>
                          <w:p>
                            <w:pPr>
                              <w:pStyle w:val="Style4"/>
                              <w:keepNext w:val="0"/>
                              <w:keepLines w:val="0"/>
                              <w:widowControl w:val="0"/>
                              <w:pBdr>
                                <w:bottom w:val="single" w:sz="4" w:space="0" w:color="auto"/>
                              </w:pBdr>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710-п</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455.85000000000002pt;margin-top:1.pt;width:36.pt;height:17.050000000000001pt;z-index:-125829375;mso-wrap-distance-left:9.pt;mso-wrap-distance-right:9.pt;mso-position-horizontal-relative:page" filled="f" stroked="f">
                <v:textbox inset="0,0,0,0">
                  <w:txbxContent>
                    <w:p>
                      <w:pPr>
                        <w:pStyle w:val="Style4"/>
                        <w:keepNext w:val="0"/>
                        <w:keepLines w:val="0"/>
                        <w:widowControl w:val="0"/>
                        <w:pBdr>
                          <w:bottom w:val="single" w:sz="4" w:space="0" w:color="auto"/>
                        </w:pBdr>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710-п</w:t>
                      </w:r>
                    </w:p>
                  </w:txbxContent>
                </v:textbox>
                <w10:wrap type="square" side="left" anchorx="page"/>
              </v:shape>
            </w:pict>
          </mc:Fallback>
        </mc:AlternateContent>
      </w:r>
      <w:r>
        <w:rPr>
          <w:color w:val="000000"/>
          <w:spacing w:val="0"/>
          <w:w w:val="100"/>
          <w:position w:val="0"/>
          <w:shd w:val="clear" w:color="auto" w:fill="auto"/>
          <w:lang w:val="ru-RU" w:eastAsia="ru-RU" w:bidi="ru-RU"/>
        </w:rPr>
        <w:t>25 декабря 2025 года</w:t>
      </w:r>
    </w:p>
    <w:p>
      <w:pPr>
        <w:pStyle w:val="Style12"/>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ru-RU" w:eastAsia="ru-RU" w:bidi="ru-RU"/>
        </w:rPr>
        <w:t>г. Омск</w:t>
      </w:r>
    </w:p>
    <w:p>
      <w:pPr>
        <w:pStyle w:val="Style4"/>
        <w:keepNext w:val="0"/>
        <w:keepLines w:val="0"/>
        <w:widowControl w:val="0"/>
        <w:shd w:val="clear" w:color="auto" w:fill="auto"/>
        <w:bidi w:val="0"/>
        <w:spacing w:before="0" w:after="300" w:line="240" w:lineRule="auto"/>
        <w:ind w:left="0" w:right="0" w:firstLine="0"/>
        <w:jc w:val="center"/>
      </w:pPr>
      <w:r>
        <w:rPr>
          <w:color w:val="000000"/>
          <w:spacing w:val="0"/>
          <w:w w:val="100"/>
          <w:position w:val="0"/>
          <w:shd w:val="clear" w:color="auto" w:fill="auto"/>
          <w:lang w:val="ru-RU" w:eastAsia="ru-RU" w:bidi="ru-RU"/>
        </w:rPr>
        <w:t>О Территориальной программе государственных гарантий бесплатного</w:t>
        <w:br/>
        <w:t>оказания гражданам медицинской помощи в Омской области</w:t>
        <w:br/>
        <w:t>на 2026 год и на плановый период 2027 и 2028 годов</w:t>
      </w:r>
    </w:p>
    <w:p>
      <w:pPr>
        <w:pStyle w:val="Style4"/>
        <w:keepNext w:val="0"/>
        <w:keepLines w:val="0"/>
        <w:widowControl w:val="0"/>
        <w:shd w:val="clear" w:color="auto" w:fill="auto"/>
        <w:bidi w:val="0"/>
        <w:spacing w:before="0" w:after="0" w:line="240" w:lineRule="auto"/>
        <w:ind w:left="0" w:right="0" w:firstLine="780"/>
        <w:jc w:val="both"/>
      </w:pPr>
      <w:r>
        <w:rPr>
          <w:color w:val="000000"/>
          <w:spacing w:val="0"/>
          <w:w w:val="100"/>
          <w:position w:val="0"/>
          <w:shd w:val="clear" w:color="auto" w:fill="auto"/>
          <w:lang w:val="ru-RU" w:eastAsia="ru-RU" w:bidi="ru-RU"/>
        </w:rPr>
        <w:t>В целях обеспечения конституционных прав граждан на бесплатную медицинскую помощь в Омской области в соответствии со статьей 81 Федерального закона «Об основах охраны здоровья граждан в Российской Федерации», статьей 36 Федерального закона «Об обязательном медицинском страховании в Российской Федерации» Правительство Омской области постановляет:</w:t>
      </w:r>
    </w:p>
    <w:p>
      <w:pPr>
        <w:pStyle w:val="Style4"/>
        <w:keepNext w:val="0"/>
        <w:keepLines w:val="0"/>
        <w:widowControl w:val="0"/>
        <w:shd w:val="clear" w:color="auto" w:fill="auto"/>
        <w:bidi w:val="0"/>
        <w:spacing w:before="0" w:after="640" w:line="240" w:lineRule="auto"/>
        <w:ind w:left="0" w:right="0" w:firstLine="780"/>
        <w:jc w:val="both"/>
      </w:pPr>
      <w:r>
        <w:drawing>
          <wp:anchor distT="0" distB="0" distL="114300" distR="1135380" simplePos="0" relativeHeight="125829380" behindDoc="0" locked="0" layoutInCell="1" allowOverlap="1">
            <wp:simplePos x="0" y="0"/>
            <wp:positionH relativeFrom="page">
              <wp:posOffset>4244340</wp:posOffset>
            </wp:positionH>
            <wp:positionV relativeFrom="paragraph">
              <wp:posOffset>901700</wp:posOffset>
            </wp:positionV>
            <wp:extent cx="1706880" cy="1657985"/>
            <wp:wrapSquare wrapText="left"/>
            <wp:docPr id="5" name="Shape 5"/>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7"/>
                    <a:stretch/>
                  </pic:blipFill>
                  <pic:spPr>
                    <a:xfrm>
                      <a:ext cx="1706880" cy="1657985"/>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5951220</wp:posOffset>
                </wp:positionH>
                <wp:positionV relativeFrom="paragraph">
                  <wp:posOffset>1639570</wp:posOffset>
                </wp:positionV>
                <wp:extent cx="1021080" cy="222250"/>
                <wp:wrapNone/>
                <wp:docPr id="7" name="Shape 7"/>
                <a:graphic xmlns:a="http://schemas.openxmlformats.org/drawingml/2006/main">
                  <a:graphicData uri="http://schemas.microsoft.com/office/word/2010/wordprocessingShape">
                    <wps:wsp>
                      <wps:cNvSpPr txBox="1"/>
                      <wps:spPr>
                        <a:xfrm>
                          <a:ext cx="1021080" cy="22225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Д.В. Ушаков</w:t>
                            </w:r>
                          </w:p>
                        </w:txbxContent>
                      </wps:txbx>
                      <wps:bodyPr lIns="0" tIns="0" rIns="0" bIns="0">
                        <a:noAutoFit/>
                      </wps:bodyPr>
                    </wps:wsp>
                  </a:graphicData>
                </a:graphic>
              </wp:anchor>
            </w:drawing>
          </mc:Choice>
          <mc:Fallback>
            <w:pict>
              <v:shape id="_x0000_s1033" type="#_x0000_t202" style="position:absolute;margin-left:468.60000000000002pt;margin-top:129.09999999999999pt;width:80.400000000000006pt;height:17.5pt;z-index:251657729;mso-wrap-distance-left:0;mso-wrap-distance-right:0;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Д.В. Ушаков</w:t>
                      </w:r>
                    </w:p>
                  </w:txbxContent>
                </v:textbox>
                <w10:wrap anchorx="page"/>
              </v:shape>
            </w:pict>
          </mc:Fallback>
        </mc:AlternateContent>
      </w:r>
      <w:r>
        <w:rPr>
          <w:color w:val="000000"/>
          <w:spacing w:val="0"/>
          <w:w w:val="100"/>
          <w:position w:val="0"/>
          <w:shd w:val="clear" w:color="auto" w:fill="auto"/>
          <w:lang w:val="ru-RU" w:eastAsia="ru-RU" w:bidi="ru-RU"/>
        </w:rPr>
        <w:t>Утвердить прилагаемую Территориальную программу государственных гарантий бесплатного оказания гражданам медицинской помощи в Омской области на 2026 год и на плановый период 2027 и 2028 годов.</w:t>
      </w:r>
    </w:p>
    <w:p>
      <w:pPr>
        <w:pStyle w:val="Style4"/>
        <w:keepNext w:val="0"/>
        <w:keepLines w:val="0"/>
        <w:widowControl w:val="0"/>
        <w:shd w:val="clear" w:color="auto" w:fill="auto"/>
        <w:bidi w:val="0"/>
        <w:spacing w:before="0" w:after="360" w:line="240" w:lineRule="auto"/>
        <w:ind w:left="0" w:right="0" w:firstLine="0"/>
        <w:jc w:val="left"/>
        <w:sectPr>
          <w:footnotePr>
            <w:pos w:val="pageBottom"/>
            <w:numFmt w:val="decimal"/>
            <w:numRestart w:val="continuous"/>
          </w:footnotePr>
          <w:type w:val="continuous"/>
          <w:pgSz w:w="11900" w:h="16840"/>
          <w:pgMar w:top="570" w:right="853" w:bottom="570" w:left="1543" w:header="0" w:footer="3" w:gutter="0"/>
          <w:cols w:space="720"/>
          <w:noEndnote/>
          <w:rtlGutter w:val="0"/>
          <w:docGrid w:linePitch="360"/>
        </w:sectPr>
      </w:pPr>
      <w:r>
        <w:rPr>
          <w:color w:val="000000"/>
          <w:spacing w:val="0"/>
          <w:w w:val="100"/>
          <w:position w:val="0"/>
          <w:shd w:val="clear" w:color="auto" w:fill="auto"/>
          <w:lang w:val="ru-RU" w:eastAsia="ru-RU" w:bidi="ru-RU"/>
        </w:rPr>
        <w:t>Исполняющий обязанности Председателя Правительства Омской области</w:t>
      </w:r>
    </w:p>
    <w:p>
      <w:pPr>
        <w:pStyle w:val="Style4"/>
        <w:keepNext w:val="0"/>
        <w:keepLines w:val="0"/>
        <w:widowControl w:val="0"/>
        <w:shd w:val="clear" w:color="auto" w:fill="auto"/>
        <w:bidi w:val="0"/>
        <w:spacing w:before="0" w:after="640" w:line="240" w:lineRule="auto"/>
        <w:ind w:left="3660" w:right="0" w:firstLine="0"/>
        <w:jc w:val="right"/>
      </w:pPr>
      <w:r>
        <w:rPr>
          <w:color w:val="000000"/>
          <w:spacing w:val="0"/>
          <w:w w:val="100"/>
          <w:position w:val="0"/>
          <w:shd w:val="clear" w:color="auto" w:fill="auto"/>
          <w:lang w:val="ru-RU" w:eastAsia="ru-RU" w:bidi="ru-RU"/>
        </w:rPr>
        <w:t xml:space="preserve">Приложение к постановлению Правительства Омской области от </w:t>
      </w:r>
      <w:r>
        <w:rPr>
          <w:color w:val="000000"/>
          <w:spacing w:val="0"/>
          <w:w w:val="100"/>
          <w:position w:val="0"/>
          <w:u w:val="single"/>
          <w:shd w:val="clear" w:color="auto" w:fill="auto"/>
          <w:lang w:val="ru-RU" w:eastAsia="ru-RU" w:bidi="ru-RU"/>
        </w:rPr>
        <w:t>25 декабря 2025 года</w:t>
      </w:r>
      <w:r>
        <w:rPr>
          <w:color w:val="000000"/>
          <w:spacing w:val="0"/>
          <w:w w:val="100"/>
          <w:position w:val="0"/>
          <w:shd w:val="clear" w:color="auto" w:fill="auto"/>
          <w:lang w:val="ru-RU" w:eastAsia="ru-RU" w:bidi="ru-RU"/>
        </w:rPr>
        <w:t xml:space="preserve"> № </w:t>
      </w:r>
      <w:r>
        <w:rPr>
          <w:color w:val="000000"/>
          <w:spacing w:val="0"/>
          <w:w w:val="100"/>
          <w:position w:val="0"/>
          <w:u w:val="single"/>
          <w:shd w:val="clear" w:color="auto" w:fill="auto"/>
          <w:lang w:val="ru-RU" w:eastAsia="ru-RU" w:bidi="ru-RU"/>
        </w:rPr>
        <w:t>710-п</w:t>
      </w:r>
    </w:p>
    <w:p>
      <w:pPr>
        <w:pStyle w:val="Style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ТЕРРИТОРИАЛЬНАЯ ПРОГРАММА</w:t>
        <w:br/>
        <w:t>государственных гарантий бесплатного оказания гражданам медицинской</w:t>
        <w:br/>
        <w:t>помощи в Омской области на 2026 год и на плановый период</w:t>
      </w:r>
    </w:p>
    <w:p>
      <w:pPr>
        <w:pStyle w:val="Style4"/>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ru-RU" w:eastAsia="ru-RU" w:bidi="ru-RU"/>
        </w:rPr>
        <w:t>2027 и 2028 годов</w:t>
      </w:r>
    </w:p>
    <w:p>
      <w:pPr>
        <w:pStyle w:val="Style4"/>
        <w:keepNext w:val="0"/>
        <w:keepLines w:val="0"/>
        <w:widowControl w:val="0"/>
        <w:numPr>
          <w:ilvl w:val="0"/>
          <w:numId w:val="1"/>
        </w:numPr>
        <w:shd w:val="clear" w:color="auto" w:fill="auto"/>
        <w:tabs>
          <w:tab w:pos="274" w:val="left"/>
        </w:tabs>
        <w:bidi w:val="0"/>
        <w:spacing w:before="0" w:after="260" w:line="240" w:lineRule="auto"/>
        <w:ind w:left="0" w:right="0" w:firstLine="0"/>
        <w:jc w:val="center"/>
      </w:pPr>
      <w:r>
        <w:rPr>
          <w:color w:val="000000"/>
          <w:spacing w:val="0"/>
          <w:w w:val="100"/>
          <w:position w:val="0"/>
          <w:shd w:val="clear" w:color="auto" w:fill="auto"/>
          <w:lang w:val="ru-RU" w:eastAsia="ru-RU" w:bidi="ru-RU"/>
        </w:rPr>
        <w:t>Общие положения</w:t>
      </w:r>
    </w:p>
    <w:p>
      <w:pPr>
        <w:pStyle w:val="Style4"/>
        <w:keepNext w:val="0"/>
        <w:keepLines w:val="0"/>
        <w:widowControl w:val="0"/>
        <w:numPr>
          <w:ilvl w:val="0"/>
          <w:numId w:val="3"/>
        </w:numPr>
        <w:shd w:val="clear" w:color="auto" w:fill="auto"/>
        <w:tabs>
          <w:tab w:pos="1033"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Территориальная программа государственных гарантий бесплатного оказания гражданам медицинской помощи в Омской области на 2026 год и на плановый период 2027 и 2028 годов (далее - Программа) устанавливает:</w:t>
      </w:r>
    </w:p>
    <w:p>
      <w:pPr>
        <w:pStyle w:val="Style4"/>
        <w:keepNext w:val="0"/>
        <w:keepLines w:val="0"/>
        <w:widowControl w:val="0"/>
        <w:numPr>
          <w:ilvl w:val="0"/>
          <w:numId w:val="3"/>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целевые значения критериев доступности и качества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 утверждаемой постановлением Правительства Российской Федерации (далее - федеральная программа);</w:t>
      </w:r>
    </w:p>
    <w:p>
      <w:pPr>
        <w:pStyle w:val="Style4"/>
        <w:keepNext w:val="0"/>
        <w:keepLines w:val="0"/>
        <w:widowControl w:val="0"/>
        <w:numPr>
          <w:ilvl w:val="0"/>
          <w:numId w:val="3"/>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перечень заболеваний (состояний) и перечень видов медицинской помощи, оказываемой гражданам без взимания с них платы за счет бюджетных ассигнований областного бюджета и средств бюджета территориального фонда обязательного медицинского страхования (далее - ОМС) Омской области;</w:t>
      </w:r>
    </w:p>
    <w:p>
      <w:pPr>
        <w:pStyle w:val="Style4"/>
        <w:keepNext w:val="0"/>
        <w:keepLines w:val="0"/>
        <w:widowControl w:val="0"/>
        <w:numPr>
          <w:ilvl w:val="0"/>
          <w:numId w:val="3"/>
        </w:numPr>
        <w:shd w:val="clear" w:color="auto" w:fill="auto"/>
        <w:tabs>
          <w:tab w:pos="106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порядок и условия предоставления медицинской помощи, в том числе сроки ожидания медицинской помощи, оказываемой в плановом порядке;</w:t>
      </w:r>
    </w:p>
    <w:p>
      <w:pPr>
        <w:pStyle w:val="Style4"/>
        <w:keepNext w:val="0"/>
        <w:keepLines w:val="0"/>
        <w:widowControl w:val="0"/>
        <w:numPr>
          <w:ilvl w:val="0"/>
          <w:numId w:val="3"/>
        </w:numPr>
        <w:shd w:val="clear" w:color="auto" w:fill="auto"/>
        <w:tabs>
          <w:tab w:pos="106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порядок реализации установленного законодательством Российской Федерации и законодательством Омской области права внеочередного оказания медицинской помощи отдельным категориям граждан в медицинских организациях, находящихся на территории Омской области;</w:t>
      </w:r>
    </w:p>
    <w:p>
      <w:pPr>
        <w:pStyle w:val="Style4"/>
        <w:keepNext w:val="0"/>
        <w:keepLines w:val="0"/>
        <w:widowControl w:val="0"/>
        <w:numPr>
          <w:ilvl w:val="0"/>
          <w:numId w:val="3"/>
        </w:numPr>
        <w:shd w:val="clear" w:color="auto" w:fill="auto"/>
        <w:tabs>
          <w:tab w:pos="1071" w:val="left"/>
        </w:tabs>
        <w:bidi w:val="0"/>
        <w:spacing w:before="0" w:after="0" w:line="240" w:lineRule="auto"/>
        <w:ind w:left="0" w:right="0" w:firstLine="720"/>
        <w:jc w:val="both"/>
        <w:sectPr>
          <w:footnotePr>
            <w:pos w:val="pageBottom"/>
            <w:numFmt w:val="decimal"/>
            <w:numRestart w:val="continuous"/>
          </w:footnotePr>
          <w:pgSz w:w="11900" w:h="16840"/>
          <w:pgMar w:top="1124" w:right="684" w:bottom="1196" w:left="1529" w:header="696" w:footer="768" w:gutter="0"/>
          <w:cols w:space="720"/>
          <w:noEndnote/>
          <w:rtlGutter w:val="0"/>
          <w:docGrid w:linePitch="360"/>
        </w:sectPr>
      </w:pPr>
      <w:r>
        <w:rPr>
          <w:color w:val="000000"/>
          <w:spacing w:val="0"/>
          <w:w w:val="100"/>
          <w:position w:val="0"/>
          <w:shd w:val="clear" w:color="auto" w:fill="auto"/>
          <w:lang w:val="ru-RU" w:eastAsia="ru-RU" w:bidi="ru-RU"/>
        </w:rPr>
        <w:t xml:space="preserve">перечень лекарственных препаратов для медицинского применения (далее - лекарственные препараты),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со свободных цен (далее - Перечень лекарственных препаратов), сформированный в объеме не менее объема установленного перечнем жизненно необходимых и важнейших лекарственных препаратов, утвержденным распоряжением Правительства Российской Федерации от 12 октября 2019 года № 2406-р, за исключением лекарственных препаратов, которые в соответствии с инструкциями по их медицинскому применению предназначены для применения только в медицинских организациях </w:t>
      </w:r>
    </w:p>
    <w:p>
      <w:pPr>
        <w:pStyle w:val="Style4"/>
        <w:keepNext w:val="0"/>
        <w:keepLines w:val="0"/>
        <w:widowControl w:val="0"/>
        <w:shd w:val="clear" w:color="auto" w:fill="auto"/>
        <w:tabs>
          <w:tab w:pos="1071" w:val="left"/>
        </w:tabs>
        <w:bidi w:val="0"/>
        <w:spacing w:before="0" w:after="0" w:line="240" w:lineRule="auto"/>
        <w:ind w:left="0" w:right="0" w:firstLine="0"/>
        <w:jc w:val="both"/>
      </w:pPr>
      <w:r>
        <w:rPr>
          <w:color w:val="000000"/>
          <w:spacing w:val="0"/>
          <w:w w:val="100"/>
          <w:position w:val="0"/>
          <w:shd w:val="clear" w:color="auto" w:fill="auto"/>
          <w:lang w:val="ru-RU" w:eastAsia="ru-RU" w:bidi="ru-RU"/>
        </w:rPr>
        <w:t>в стационарных условиях и (или) в условиях дневного стационара, согласно приложению № 1 к Программе;</w:t>
      </w:r>
    </w:p>
    <w:p>
      <w:pPr>
        <w:pStyle w:val="Style4"/>
        <w:keepNext w:val="0"/>
        <w:keepLines w:val="0"/>
        <w:widowControl w:val="0"/>
        <w:numPr>
          <w:ilvl w:val="0"/>
          <w:numId w:val="3"/>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перечень медицинских организаций, участвующих в реализации Программы, в том числе территориальной программы ОМС (с указанием медицинских организаций, проводящих профилактические медицинские осмотры и диспансеризацию, в том числе углубленную диспансеризацию);</w:t>
      </w:r>
    </w:p>
    <w:p>
      <w:pPr>
        <w:pStyle w:val="Style4"/>
        <w:keepNext w:val="0"/>
        <w:keepLines w:val="0"/>
        <w:widowControl w:val="0"/>
        <w:numPr>
          <w:ilvl w:val="0"/>
          <w:numId w:val="3"/>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объем медицинской помощи, оказываемой в рамках Программы в соответствии с законодательством Российской Федерации об ОМС;</w:t>
      </w:r>
    </w:p>
    <w:p>
      <w:pPr>
        <w:pStyle w:val="Style4"/>
        <w:keepNext w:val="0"/>
        <w:keepLines w:val="0"/>
        <w:widowControl w:val="0"/>
        <w:numPr>
          <w:ilvl w:val="0"/>
          <w:numId w:val="3"/>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pPr>
        <w:pStyle w:val="Style4"/>
        <w:keepNext w:val="0"/>
        <w:keepLines w:val="0"/>
        <w:widowControl w:val="0"/>
        <w:numPr>
          <w:ilvl w:val="0"/>
          <w:numId w:val="3"/>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перечень мероприятий по профилактике заболеваний и формированию здорового образа жизни, осуществляемых в рамках Программы;</w:t>
      </w:r>
    </w:p>
    <w:p>
      <w:pPr>
        <w:pStyle w:val="Style4"/>
        <w:keepNext w:val="0"/>
        <w:keepLines w:val="0"/>
        <w:widowControl w:val="0"/>
        <w:numPr>
          <w:ilvl w:val="0"/>
          <w:numId w:val="3"/>
        </w:numPr>
        <w:shd w:val="clear" w:color="auto" w:fill="auto"/>
        <w:tabs>
          <w:tab w:pos="1210"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Программы.</w:t>
      </w:r>
    </w:p>
    <w:p>
      <w:pPr>
        <w:pStyle w:val="Style4"/>
        <w:keepNext w:val="0"/>
        <w:keepLines w:val="0"/>
        <w:widowControl w:val="0"/>
        <w:numPr>
          <w:ilvl w:val="0"/>
          <w:numId w:val="1"/>
        </w:numPr>
        <w:shd w:val="clear" w:color="auto" w:fill="auto"/>
        <w:tabs>
          <w:tab w:pos="1033"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территориальную программу ОМС, нормативы объема медицинской помощи, нормативы финансовых затрат на единицу объема медицинской помощи, подушевые нормативы финансирования, порядок и структуру формирования тарифов на медицинскую помощь и способы ее оплаты, а также требования в части определения порядка и условий предоставления медицинской помощи, критериев доступности и качества медицинской помощи.</w:t>
      </w:r>
    </w:p>
    <w:p>
      <w:pPr>
        <w:pStyle w:val="Style4"/>
        <w:keepNext w:val="0"/>
        <w:keepLines w:val="0"/>
        <w:widowControl w:val="0"/>
        <w:numPr>
          <w:ilvl w:val="0"/>
          <w:numId w:val="1"/>
        </w:numPr>
        <w:shd w:val="clear" w:color="auto" w:fill="auto"/>
        <w:tabs>
          <w:tab w:pos="1033"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Программа сформирована с учетом порядков оказания медицинской помощи, стандартов медицинской помощи и клинических рекомендаций, особенностей половозрастного состава населения Омской области, уровня и структуры заболеваемости населения Омской области, основанных на данных медицинской статистики, климатических и географических особенностей Омской области и транспортной доступности медицинских организаций, сбалансированности объема медицинской помощи и ее финансового обеспечения, в том числе уплаты страховых взносов на ОМС неработающего населения в порядке, установленном законодательством Российской Федерации об ОМС.</w:t>
      </w:r>
    </w:p>
    <w:p>
      <w:pPr>
        <w:pStyle w:val="Style4"/>
        <w:keepNext w:val="0"/>
        <w:keepLines w:val="0"/>
        <w:widowControl w:val="0"/>
        <w:numPr>
          <w:ilvl w:val="0"/>
          <w:numId w:val="1"/>
        </w:numPr>
        <w:shd w:val="clear" w:color="auto" w:fill="auto"/>
        <w:tabs>
          <w:tab w:pos="1033"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Правительство Омской области при решении вопроса об индексации заработной платы медицинских работников медицинских организаций, подведомственных Министерству здравоохранения Омской области, обеспечивает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Индексация заработной платы медицинских работников осуществляется с учетом фактически сложившегося уровня отношения средней заработной </w:t>
      </w:r>
      <w:r>
        <w:rPr>
          <w:color w:val="000000"/>
          <w:spacing w:val="0"/>
          <w:w w:val="100"/>
          <w:position w:val="0"/>
          <w:shd w:val="clear" w:color="auto" w:fill="auto"/>
          <w:lang w:val="ru-RU" w:eastAsia="ru-RU" w:bidi="ru-RU"/>
        </w:rPr>
        <w:t>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Омской области.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Размер субвенции из бюджета Федерального фонда ОМС обеспечивает сохранение отношения заработной платы к среднемесячному доходу от трудовой деятельности в Омской области для врачей, составляющего 200 процентов, среднего медицинского персонала - 100 процентов в соответствии с Указом Президента Российской Федерации от 7 мая 2012 года № 597 «О мероприятиях по реализации государственной социальной политики» с учетом доли средств ОМС в фонде оплаты труда врачей и среднего медицинского персонала, составляющей 83 процента.</w:t>
      </w:r>
    </w:p>
    <w:p>
      <w:pPr>
        <w:pStyle w:val="Style4"/>
        <w:keepNext w:val="0"/>
        <w:keepLines w:val="0"/>
        <w:widowControl w:val="0"/>
        <w:numPr>
          <w:ilvl w:val="0"/>
          <w:numId w:val="1"/>
        </w:numPr>
        <w:shd w:val="clear" w:color="auto" w:fill="auto"/>
        <w:tabs>
          <w:tab w:pos="1033" w:val="left"/>
        </w:tabs>
        <w:bidi w:val="0"/>
        <w:spacing w:before="0" w:after="320" w:line="240" w:lineRule="auto"/>
        <w:ind w:left="0" w:right="0" w:firstLine="720"/>
        <w:jc w:val="both"/>
      </w:pPr>
      <w:r>
        <w:rPr>
          <w:color w:val="000000"/>
          <w:spacing w:val="0"/>
          <w:w w:val="100"/>
          <w:position w:val="0"/>
          <w:shd w:val="clear" w:color="auto" w:fill="auto"/>
          <w:lang w:val="ru-RU" w:eastAsia="ru-RU" w:bidi="ru-RU"/>
        </w:rPr>
        <w:t>Медицинские организации, оказывающие несколько видов медицинской помощи, не вправе перераспределять средства ОМС,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pPr>
        <w:pStyle w:val="Style4"/>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ru-RU" w:eastAsia="ru-RU" w:bidi="ru-RU"/>
        </w:rPr>
        <w:t>II. Перечень видов, форм и условий предоставления медицинской помощи,</w:t>
        <w:br/>
        <w:t>оказание которой осуществляется бесплатно</w:t>
      </w:r>
    </w:p>
    <w:p>
      <w:pPr>
        <w:pStyle w:val="Style4"/>
        <w:keepNext w:val="0"/>
        <w:keepLines w:val="0"/>
        <w:widowControl w:val="0"/>
        <w:numPr>
          <w:ilvl w:val="0"/>
          <w:numId w:val="5"/>
        </w:numPr>
        <w:shd w:val="clear" w:color="auto" w:fill="auto"/>
        <w:tabs>
          <w:tab w:pos="1028"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В рамках Программы (за исключением медицинской помощи, оказываемой в рамках клинической апробации) бесплатно оказываются:</w:t>
      </w:r>
    </w:p>
    <w:p>
      <w:pPr>
        <w:pStyle w:val="Style4"/>
        <w:keepNext w:val="0"/>
        <w:keepLines w:val="0"/>
        <w:widowControl w:val="0"/>
        <w:numPr>
          <w:ilvl w:val="0"/>
          <w:numId w:val="7"/>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первичная медико-санитарная помощь, в том числе первичная доврачебная, первичная врачебная и первичная специализированная медико-санитарная помощь;</w:t>
      </w:r>
    </w:p>
    <w:p>
      <w:pPr>
        <w:pStyle w:val="Style4"/>
        <w:keepNext w:val="0"/>
        <w:keepLines w:val="0"/>
        <w:widowControl w:val="0"/>
        <w:numPr>
          <w:ilvl w:val="0"/>
          <w:numId w:val="7"/>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специализированная, в том числе высокотехнологичная, медицинская помощь;</w:t>
      </w:r>
    </w:p>
    <w:p>
      <w:pPr>
        <w:pStyle w:val="Style4"/>
        <w:keepNext w:val="0"/>
        <w:keepLines w:val="0"/>
        <w:widowControl w:val="0"/>
        <w:numPr>
          <w:ilvl w:val="0"/>
          <w:numId w:val="7"/>
        </w:numPr>
        <w:shd w:val="clear" w:color="auto" w:fill="auto"/>
        <w:tabs>
          <w:tab w:pos="1733"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скорая, в том числе скорая специализированная, медицинская помощь;</w:t>
      </w:r>
    </w:p>
    <w:p>
      <w:pPr>
        <w:pStyle w:val="Style4"/>
        <w:keepNext w:val="0"/>
        <w:keepLines w:val="0"/>
        <w:widowControl w:val="0"/>
        <w:numPr>
          <w:ilvl w:val="0"/>
          <w:numId w:val="7"/>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pPr>
        <w:pStyle w:val="Style4"/>
        <w:keepNext w:val="0"/>
        <w:keepLines w:val="0"/>
        <w:widowControl w:val="0"/>
        <w:numPr>
          <w:ilvl w:val="0"/>
          <w:numId w:val="5"/>
        </w:numPr>
        <w:shd w:val="clear" w:color="auto" w:fill="auto"/>
        <w:tabs>
          <w:tab w:pos="1033" w:val="left"/>
        </w:tabs>
        <w:bidi w:val="0"/>
        <w:spacing w:before="0" w:after="320" w:line="240" w:lineRule="auto"/>
        <w:ind w:left="0" w:right="0" w:firstLine="720"/>
        <w:jc w:val="both"/>
      </w:pPr>
      <w:r>
        <w:rPr>
          <w:color w:val="000000"/>
          <w:spacing w:val="0"/>
          <w:w w:val="100"/>
          <w:position w:val="0"/>
          <w:shd w:val="clear" w:color="auto" w:fill="auto"/>
          <w:lang w:val="ru-RU" w:eastAsia="ru-RU" w:bidi="ru-RU"/>
        </w:rPr>
        <w:t>Понятие «медицинская организация» используется в Программе в значении, определенном в Федеральном законе «Об основах охраны здоровья граждан в Российской Федерации» и Федеральном законе «Об обязательном медицинском страховании в Российской Федерации».</w:t>
      </w:r>
    </w:p>
    <w:p>
      <w:pPr>
        <w:pStyle w:val="Style4"/>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ru-RU" w:eastAsia="ru-RU" w:bidi="ru-RU"/>
        </w:rPr>
        <w:t>Порядок оказания медицинской помощи отдельным категориям</w:t>
        <w:br/>
        <w:t>ветеранов боевых действий</w:t>
      </w:r>
    </w:p>
    <w:p>
      <w:pPr>
        <w:pStyle w:val="Style4"/>
        <w:keepNext w:val="0"/>
        <w:keepLines w:val="0"/>
        <w:widowControl w:val="0"/>
        <w:numPr>
          <w:ilvl w:val="0"/>
          <w:numId w:val="5"/>
        </w:numPr>
        <w:shd w:val="clear" w:color="auto" w:fill="auto"/>
        <w:tabs>
          <w:tab w:pos="1033" w:val="left"/>
        </w:tabs>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Лицам, указанным в абзацах втором и третьем подпункта «в» пункта 2 Указа Президента Российской Федерации от 3 апреля 2023 года № 232 «О создании Государственного фонда поддержки участников специальной военной операции «Защитники Отечества» (далее в настоящем пункте - </w:t>
      </w:r>
      <w:r>
        <w:rPr>
          <w:color w:val="000000"/>
          <w:spacing w:val="0"/>
          <w:w w:val="100"/>
          <w:position w:val="0"/>
          <w:shd w:val="clear" w:color="auto" w:fill="auto"/>
          <w:lang w:val="ru-RU" w:eastAsia="ru-RU" w:bidi="ru-RU"/>
        </w:rPr>
        <w:t>ветераны боевых действий), оказание медицинской помощи в рамках Программы осуществляется во внеочередном порядке.</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В рамках организации оказания ветеранам боевых действий первичной медико-санитарной помощи Государственный фонд поддержки участников специальной военной операции «Защитники Отечества» при согласии ветерана боевых действий представляет в территориальный фонд ОМС Омской области сведения о месте нахождения ветерана боевых действий (при наличии такой информации и отличии такого места нахождения от места регистрации ветерана боевых действий), его контактные данные, информацию о возможных ограничениях в состоянии здоровья ветерана боевых действий, затрудняющих самостоятельное его обращение в медицинскую организацию, иную информацию о состоянии его здоровья.</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Территориальный фонд ОМС Омской области на основании пункта 15 части 2 статьи 44 Федерального закона «Об обязательном медицинском страховании в Российской Федерации» определяет медицинскую организацию, выбранную ветераном боевых действий для получения первичной медико- 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оказания ветерану боевых действий первичной медико-санитарной помощи во внеочередном порядке.</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Медицинская организация, выбранная ветераном боевых действий для получения первичной медико-санитарной помощи, определяет порядок организации таким гражданам первичной медико-санитарной помощи и выделяет отдельного медицинского работника, координирующего предоставление ветерану боевых действий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ветеранов боевых действий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ветерана боевых действий до медицинской организации.</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В случае невозможности прибытия ветерана боевых действий в медицинскую организацию медицинская организация, выбранная ветераном боевых действий для получения первичной медико-санитарной помощи, организует выезд к нему медицинской бригады, оснащенной необходимыми медицинскими изделиями для проведения соответствующих обследований.</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 xml:space="preserve">В течение месяца после получения медицинской организацией информации о прибытии ветерана боевых действий в Омскую область ему организуется проведение диспансеризации. При проведении ветерану боевых действий первого этапа диспансеризации врач-терапевт оценивает необходимость предоставления ветерану боевых действий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день осуществления первого этапа </w:t>
      </w:r>
      <w:r>
        <w:rPr>
          <w:color w:val="000000"/>
          <w:spacing w:val="0"/>
          <w:w w:val="100"/>
          <w:position w:val="0"/>
          <w:shd w:val="clear" w:color="auto" w:fill="auto"/>
          <w:lang w:val="ru-RU" w:eastAsia="ru-RU" w:bidi="ru-RU"/>
        </w:rPr>
        <w:t>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pPr>
        <w:pStyle w:val="Style4"/>
        <w:keepNext w:val="0"/>
        <w:keepLines w:val="0"/>
        <w:widowControl w:val="0"/>
        <w:numPr>
          <w:ilvl w:val="0"/>
          <w:numId w:val="9"/>
        </w:numPr>
        <w:shd w:val="clear" w:color="auto" w:fill="auto"/>
        <w:tabs>
          <w:tab w:pos="927" w:val="left"/>
        </w:tabs>
        <w:bidi w:val="0"/>
        <w:spacing w:before="0" w:after="0" w:line="240" w:lineRule="auto"/>
        <w:ind w:left="0" w:right="0" w:firstLine="700"/>
        <w:jc w:val="both"/>
      </w:pPr>
      <w:r>
        <w:rPr>
          <w:color w:val="000000"/>
          <w:spacing w:val="0"/>
          <w:w w:val="100"/>
          <w:position w:val="0"/>
          <w:shd w:val="clear" w:color="auto" w:fill="auto"/>
          <w:lang w:val="ru-RU" w:eastAsia="ru-RU" w:bidi="ru-RU"/>
        </w:rPr>
        <w:t>3 рабочих дней после проведения первого этапа диспансеризации в случае проживания ветерана боевых действий в городском населенном пункте;</w:t>
      </w:r>
    </w:p>
    <w:p>
      <w:pPr>
        <w:pStyle w:val="Style4"/>
        <w:keepNext w:val="0"/>
        <w:keepLines w:val="0"/>
        <w:widowControl w:val="0"/>
        <w:numPr>
          <w:ilvl w:val="0"/>
          <w:numId w:val="9"/>
        </w:numPr>
        <w:shd w:val="clear" w:color="auto" w:fill="auto"/>
        <w:tabs>
          <w:tab w:pos="927" w:val="left"/>
        </w:tabs>
        <w:bidi w:val="0"/>
        <w:spacing w:before="0" w:after="0" w:line="240" w:lineRule="auto"/>
        <w:ind w:left="0" w:right="0" w:firstLine="700"/>
        <w:jc w:val="both"/>
      </w:pPr>
      <w:r>
        <w:rPr>
          <w:color w:val="000000"/>
          <w:spacing w:val="0"/>
          <w:w w:val="100"/>
          <w:position w:val="0"/>
          <w:shd w:val="clear" w:color="auto" w:fill="auto"/>
          <w:lang w:val="ru-RU" w:eastAsia="ru-RU" w:bidi="ru-RU"/>
        </w:rPr>
        <w:t>10 рабочих дней после проведения первого этапа диспансеризации в случае проживания ветерана боевых действий в сельской местности (поселке городского типа, рабочем поселке) или в отдаленном населенном пункте.</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Если ветеран боевых действий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В случае если медицинские работники при оказании ветерану боевых действий медицинской помощи выявляют необходимость предоставления ему социальных услуг, эта информация передается медицинскими работниками руководителю медицинской организации, выбранной ветераном боевых действий для получения первичной медико-санитарной помощи, который направляет ее в Министерство труда и социального развития Омской области.</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После получения указанной информации Министерство труда и социального развития Омской области организует предоставление ветерану боевых действий необходимых ему социальных услуг в порядке, устанавливаемом Министерством труда и социальной защиты Российской Федерации.</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При оказании социальных услуг Министерство труда и социального развития Омской области также информирует руководителя медицинской организации, выбранной ветераном боевых действий для получения первичной медико-санитарной помощи, о выявленной потребности в предоставлении ветерану боевых действий медицинской помощи.</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При наличии показаний специализированная, в том числе высокотехнологичная, медицинская помощь предоставляется ветерану боевых действий во внеочередном порядке. При этом ветеран боевых действий имеет преимущественное право на пребывание в одно-двухместных палатах (при наличии) при оказании специализированной, в том числе высокотехнологичной, медицинской помощи.</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Медицинская реабилитация предоставляется ветеранам боевых действий также во внеочередном порядке в соответствии с положениями, установленными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ветерану боевых действий, при наличии медицинских показаний может включать продолжительную медицинскую реабилитацию (длительностью</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30 суток и более).</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В случае если ветеран боевых действий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Программой. При организации паллиативной медицинской помощи на дому за ветераном боевых действий закрепляется выездная паллиативная бригада, осуществляющая выезд к такому пациенту на дом с частотой не реже 1 раза в неделю и по медицинским показаниям.</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Медицинские организации и их подразделения при наличии показаний обеспечивают ветерана боевых действий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Ветераны боевых действий при наличии показаний получают санаторно- курортное лечение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Министерством здравоохранения Омской области в отношении подведомственных санаторно-курортных организаций устанавливается перечень санаторно-курортных организаций, в которые могут быть направлены ветераны боевых действий, с учетом состояния их здоровья, а также состояния материально-технической базы санаторно-курортной организации и наличия обученных медицинских работников.</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Федеральный фонд ОМС ведет отдельный учет случаев оказания медицинской помощи ветеранам боевых действий в разрезе условий и форм ее оказания, а также учет таких пациентов, получивших медицинскую реабилитацию с учетом ее этапности.</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На всех этапах оказания медицинской помощи ветеран боевых действий, его (ее) супруга (супруг), а также супруга (супруг) ветерана боевых действий, пропавшего без вести, имеют право на консультирование медицинским психологом как при самостоятельном обращении, так и по направлению лечащего врача.</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 xml:space="preserve">Министерством здравоохранения Российской Федерации организуется предоставление медицинской помощи ветерану боевых действий, его (ее) супруге (супругу), а также супруге (супругу) ветерана боевых действий, пропавшего без вести, нуждающимся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функции и полномочия учредителя в отношении </w:t>
      </w:r>
      <w:r>
        <w:rPr>
          <w:color w:val="000000"/>
          <w:spacing w:val="0"/>
          <w:w w:val="100"/>
          <w:position w:val="0"/>
          <w:shd w:val="clear" w:color="auto" w:fill="auto"/>
          <w:lang w:val="ru-RU" w:eastAsia="ru-RU" w:bidi="ru-RU"/>
        </w:rPr>
        <w:t>которой осуществляют Правительство Российской Федерации или федеральные органы исполнительной власти (далее - федеральная медицинская организация), включая предоставление этой федеральной медицинской организацией консультаций профильным медицинским организациям Омской области очно и с использованием телемедицинских технологий.</w:t>
      </w:r>
    </w:p>
    <w:p>
      <w:pPr>
        <w:pStyle w:val="Style4"/>
        <w:keepNext w:val="0"/>
        <w:keepLines w:val="0"/>
        <w:widowControl w:val="0"/>
        <w:shd w:val="clear" w:color="auto" w:fill="auto"/>
        <w:bidi w:val="0"/>
        <w:spacing w:before="0" w:after="320" w:line="240" w:lineRule="auto"/>
        <w:ind w:left="0" w:right="0" w:firstLine="720"/>
        <w:jc w:val="both"/>
      </w:pPr>
      <w:r>
        <w:rPr>
          <w:color w:val="000000"/>
          <w:spacing w:val="0"/>
          <w:w w:val="100"/>
          <w:position w:val="0"/>
          <w:shd w:val="clear" w:color="auto" w:fill="auto"/>
          <w:lang w:val="ru-RU" w:eastAsia="ru-RU" w:bidi="ru-RU"/>
        </w:rPr>
        <w:t>Ветераны боевых действий имеют право на изготовление и ремонт зубных протезов (вне зависимости от наличия у ветерана боевых действий инвалидности) в соответствии с постановлением Правительства Омской области от 10 апреля 2008 года № 48-п «О социальной поддержке отдельных категорий граждан по изготовлению и ремонту зубных протезов» и получение лекарственных препаратов во внеочередном порядке за счет средств областного бюджета.</w:t>
      </w:r>
    </w:p>
    <w:p>
      <w:pPr>
        <w:pStyle w:val="Style4"/>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ru-RU" w:eastAsia="ru-RU" w:bidi="ru-RU"/>
        </w:rPr>
        <w:t>Порядок оказания медицинской помощи инвалидам, включая порядок</w:t>
        <w:br/>
        <w:t>наблюдения врачом за состоянием их здоровья, меры по обеспечению</w:t>
        <w:br/>
        <w:t>доступности для инвалидов медицинской инфраструктуры,</w:t>
        <w:br/>
        <w:t>возможности записи к врачу, а также порядок доведения</w:t>
        <w:br/>
        <w:t>до отдельных групп инвалидов информации</w:t>
        <w:br/>
        <w:t>о состоянии их здоровья</w:t>
      </w:r>
    </w:p>
    <w:p>
      <w:pPr>
        <w:pStyle w:val="Style4"/>
        <w:keepNext w:val="0"/>
        <w:keepLines w:val="0"/>
        <w:widowControl w:val="0"/>
        <w:numPr>
          <w:ilvl w:val="0"/>
          <w:numId w:val="11"/>
        </w:numPr>
        <w:shd w:val="clear" w:color="auto" w:fill="auto"/>
        <w:tabs>
          <w:tab w:pos="1033"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Инвалидам и маломобильным группам населения, нуждающимся в постороннем уходе и помощи, предоставляется доступная медицинская помощь, в том числе на дому.</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При реализации государственной политики и нормативно-правовом регулировании в сфере социальной защиты населения в целях обеспечения транспортной доступности для инвалидов и других групп населения с ограниченными возможностями здоровья, оказания им необходимой помощи Министерство здравоохранения Омской области за счет средств областного бюджета обеспечивает оснащение и переоснащение транспортными средствами (за исключением автомобилей скорой медицинской помощи) медицинских организаций, оказывающих первичную медико-санитарную помощь, центральных районных больниц, расположенных в сельской местности, поселках городского типа и малых городах (с численностью населения до 50 тыс. человек), для доставки инвалидов в медицинские организации, медицинских работников до места жительства инвалидов, для доставки инвалидов в медицинские организации для проведения диспансеризации и диспансерного наблюдения и обратно, а также для доставки маломобильных пациентов до медицинских организаций и обратно.</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Порядок обеспечения условий доступности для инвалидов объектов инфраструктуры государственной, муниципальной и частной систем здравоохранения и предоставляемых услуг в сфере охраны здоровья, а также оказания им при этом необходимой помощи устанавливается Министерством здравоохранения Российской Федерации.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Основной задачей сотрудника, работающего на индивидуальном посту, </w:t>
      </w:r>
      <w:r>
        <w:rPr>
          <w:color w:val="000000"/>
          <w:spacing w:val="0"/>
          <w:w w:val="100"/>
          <w:position w:val="0"/>
          <w:shd w:val="clear" w:color="auto" w:fill="auto"/>
          <w:lang w:val="ru-RU" w:eastAsia="ru-RU" w:bidi="ru-RU"/>
        </w:rPr>
        <w:t>является предоставление помощи в ориентации в пространстве медицинской организации, содействие в процедуре регистрации, записи на прием к врачу и оформлении медицинской документации, а также оперативное консультирование по всем вопросам, связанным с порядком, объемом и условиями предоставления бесплатной медицинской помощи в рамках Программы.</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Правила осуществления ухода ближайшим родственником, законным представителем или иным лицом (привлекаемым родственниками или законными представителями) в условиях круглосуточного стационара за пациентами, являющимися инвалидами I группы, включая порядок доступа, устанавливаются медицинской организацией и доводятся до сведения граждан путем размещения на официальном сайте медицинской организации в информационно-телекоммуникационной сети «Интернет», в иных доступных местах на территории медицинской организации.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Круглосуточный доступ ближайших родственников, законных представителей или иных лиц (привлекаемых родственниками или законными представителями) для осуществления ухода осуществляется на безвозмездной основе с учетом соблюдения санитарно-эпидемического режима (при наличии).</w:t>
      </w:r>
    </w:p>
    <w:p>
      <w:pPr>
        <w:pStyle w:val="Style4"/>
        <w:keepNext w:val="0"/>
        <w:keepLines w:val="0"/>
        <w:widowControl w:val="0"/>
        <w:shd w:val="clear" w:color="auto" w:fill="auto"/>
        <w:bidi w:val="0"/>
        <w:spacing w:before="0" w:after="320" w:line="240" w:lineRule="auto"/>
        <w:ind w:left="0" w:right="0" w:firstLine="720"/>
        <w:jc w:val="both"/>
      </w:pPr>
      <w:r>
        <w:rPr>
          <w:color w:val="000000"/>
          <w:spacing w:val="0"/>
          <w:w w:val="100"/>
          <w:position w:val="0"/>
          <w:shd w:val="clear" w:color="auto" w:fill="auto"/>
          <w:lang w:val="ru-RU" w:eastAsia="ru-RU" w:bidi="ru-RU"/>
        </w:rPr>
        <w:t>Министерство здравоохранения Омской области, а также страховые медицинские организации, в которых застрахованы лица, и территориальный фонд ОМС Омской области осуществляют контроль оказания медицинской помощи инвалидам медицинскими организациями.</w:t>
      </w:r>
    </w:p>
    <w:p>
      <w:pPr>
        <w:pStyle w:val="Style4"/>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ru-RU" w:eastAsia="ru-RU" w:bidi="ru-RU"/>
        </w:rPr>
        <w:t>Первичная медико-санитарная помощь</w:t>
      </w:r>
    </w:p>
    <w:p>
      <w:pPr>
        <w:pStyle w:val="Style4"/>
        <w:keepNext w:val="0"/>
        <w:keepLines w:val="0"/>
        <w:widowControl w:val="0"/>
        <w:numPr>
          <w:ilvl w:val="0"/>
          <w:numId w:val="11"/>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Первичная медико-санитарная помощь оказывается в амбулаторных условиях и условиях дневного стационара в плановой и неотложной формах.</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Первичная врачебная медико-санитарная помощь оказывается врачами- терапевтами, врачами-терапевтами участковыми, врачами-педиатрами, врачами-педиатрами участковыми и врачами общей практики (семейными врачами).</w:t>
      </w:r>
    </w:p>
    <w:p>
      <w:pPr>
        <w:pStyle w:val="Style4"/>
        <w:keepNext w:val="0"/>
        <w:keepLines w:val="0"/>
        <w:widowControl w:val="0"/>
        <w:shd w:val="clear" w:color="auto" w:fill="auto"/>
        <w:bidi w:val="0"/>
        <w:spacing w:before="0" w:after="320" w:line="240" w:lineRule="auto"/>
        <w:ind w:left="0" w:right="0" w:firstLine="720"/>
        <w:jc w:val="both"/>
      </w:pPr>
      <w:r>
        <w:rPr>
          <w:color w:val="000000"/>
          <w:spacing w:val="0"/>
          <w:w w:val="100"/>
          <w:position w:val="0"/>
          <w:shd w:val="clear" w:color="auto" w:fill="auto"/>
          <w:lang w:val="ru-RU" w:eastAsia="ru-RU" w:bidi="ru-RU"/>
        </w:rP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pPr>
        <w:pStyle w:val="Style4"/>
        <w:keepNext w:val="0"/>
        <w:keepLines w:val="0"/>
        <w:widowControl w:val="0"/>
        <w:shd w:val="clear" w:color="auto" w:fill="auto"/>
        <w:bidi w:val="0"/>
        <w:spacing w:before="0" w:after="320" w:line="240" w:lineRule="auto"/>
        <w:ind w:left="0" w:right="0" w:firstLine="720"/>
        <w:jc w:val="both"/>
      </w:pPr>
      <w:r>
        <w:rPr>
          <w:color w:val="000000"/>
          <w:spacing w:val="0"/>
          <w:w w:val="100"/>
          <w:position w:val="0"/>
          <w:shd w:val="clear" w:color="auto" w:fill="auto"/>
          <w:lang w:val="ru-RU" w:eastAsia="ru-RU" w:bidi="ru-RU"/>
        </w:rP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pPr>
        <w:pStyle w:val="Style4"/>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ru-RU" w:eastAsia="ru-RU" w:bidi="ru-RU"/>
        </w:rPr>
        <w:t>Специализированная, в том числе высокотехнологичная,</w:t>
        <w:br/>
        <w:t>медицинская помощь</w:t>
      </w:r>
    </w:p>
    <w:p>
      <w:pPr>
        <w:pStyle w:val="Style4"/>
        <w:keepNext w:val="0"/>
        <w:keepLines w:val="0"/>
        <w:widowControl w:val="0"/>
        <w:numPr>
          <w:ilvl w:val="0"/>
          <w:numId w:val="11"/>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Специализированная медицинская помощь оказывается бесплатно в стационарных условиях и условиях дневного стационара врачами- 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приложению № 2 к Программе. Применяемые при оказании высокотехнологичной медицинской помощи методы лечения предусмотрены в соответствующем приложении к федеральной программе.</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При наличии направления на осуществление плановой госпитализации в целях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приказом Министерства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(государственной информационной системы в сфере </w:t>
      </w:r>
      <w:r>
        <w:rPr>
          <w:color w:val="000000"/>
          <w:spacing w:val="0"/>
          <w:w w:val="100"/>
          <w:position w:val="0"/>
          <w:shd w:val="clear" w:color="auto" w:fill="auto"/>
          <w:lang w:val="ru-RU" w:eastAsia="ru-RU" w:bidi="ru-RU"/>
        </w:rPr>
        <w:t>здравоохранения Омской области), для организации ему диспансерного наблюдения и медицинской реабилитации при необходимости.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В целях оказания специализированной медицинской помощи в рамках территориальной программы ОМС застрахованным по ОМС лицам Комиссия по разработке территориальных программ ОМС Омской области (далее - Комиссия) устанавливает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Комиссией может быть принято решение об увеличении объемов специализированной, в том числе высокотехнологичной, медицинской помощи.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Министерство здравоохранения Омской области при подготовке направляемых в Комиссию предложений по объемам медицинской помощи, оказываемой медицинскими организациями, участвующими в реализации территориальной программы ОМС, учитывает наличие коек краткосрочного пребывания в стационарных отделениях скорой медицинской помощи, в том числе создаваемых в рамках федерального проекта «Совершенствование экстренной медицинской помощи», и маршрутизацию пациентов.</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Министерство здравоохранения Омской области осуществляет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Расходование средств ОМС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 и иных прямых расходов, непосредственно связанных с оказанием медицинской помощи пациентам в стационаре).</w:t>
      </w:r>
    </w:p>
    <w:p>
      <w:pPr>
        <w:pStyle w:val="Style4"/>
        <w:keepNext w:val="0"/>
        <w:keepLines w:val="0"/>
        <w:widowControl w:val="0"/>
        <w:shd w:val="clear" w:color="auto" w:fill="auto"/>
        <w:bidi w:val="0"/>
        <w:spacing w:before="0" w:after="320" w:line="240" w:lineRule="auto"/>
        <w:ind w:left="0" w:right="0" w:firstLine="720"/>
        <w:jc w:val="both"/>
      </w:pPr>
      <w:r>
        <w:rPr>
          <w:color w:val="000000"/>
          <w:spacing w:val="0"/>
          <w:w w:val="100"/>
          <w:position w:val="0"/>
          <w:shd w:val="clear" w:color="auto" w:fill="auto"/>
          <w:lang w:val="ru-RU" w:eastAsia="ru-RU" w:bidi="ru-RU"/>
        </w:rPr>
        <w:t>Финансовое обеспечение содержания неиспользуемого коечного фонда осуществляется за счет бюджетных ассигнований областного бюджета.</w:t>
      </w:r>
    </w:p>
    <w:p>
      <w:pPr>
        <w:pStyle w:val="Style4"/>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ru-RU" w:eastAsia="ru-RU" w:bidi="ru-RU"/>
        </w:rPr>
        <w:t>Скорая, в том числе скорая специализированная, медицинская помощь</w:t>
      </w:r>
    </w:p>
    <w:p>
      <w:pPr>
        <w:pStyle w:val="Style4"/>
        <w:keepNext w:val="0"/>
        <w:keepLines w:val="0"/>
        <w:widowControl w:val="0"/>
        <w:numPr>
          <w:ilvl w:val="0"/>
          <w:numId w:val="11"/>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Скорая, в том числе скорая специализированная, медицинская помощь оказывается гражданам в экстренной или неотложной форме вне </w:t>
      </w:r>
      <w:r>
        <w:rPr>
          <w:color w:val="000000"/>
          <w:spacing w:val="0"/>
          <w:w w:val="100"/>
          <w:position w:val="0"/>
          <w:shd w:val="clear" w:color="auto" w:fill="auto"/>
          <w:lang w:val="ru-RU" w:eastAsia="ru-RU" w:bidi="ru-RU"/>
        </w:rPr>
        <w:t>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Скорая, в том числе скорая специализированная, медицинская помощь оказывается медицинскими организациями государственной системы здравоохранения Омской области бесплатно.</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w:t>
      </w:r>
      <w:r>
        <w:rPr>
          <w:i/>
          <w:iCs/>
          <w:color w:val="000000"/>
          <w:spacing w:val="0"/>
          <w:w w:val="100"/>
          <w:position w:val="0"/>
          <w:shd w:val="clear" w:color="auto" w:fill="auto"/>
          <w:lang w:val="ru-RU" w:eastAsia="ru-RU" w:bidi="ru-RU"/>
        </w:rPr>
        <w:t>с</w:t>
      </w:r>
      <w:r>
        <w:rPr>
          <w:color w:val="000000"/>
          <w:spacing w:val="0"/>
          <w:w w:val="100"/>
          <w:position w:val="0"/>
          <w:shd w:val="clear" w:color="auto" w:fill="auto"/>
          <w:lang w:val="ru-RU" w:eastAsia="ru-RU" w:bidi="ru-RU"/>
        </w:rPr>
        <w:t xml:space="preserve"> применением медицинского оборудования.</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областного бюджета и средств ОМС,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Министерство здравоохранения Омской области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 целях принятия управленческих решений.</w:t>
      </w:r>
    </w:p>
    <w:p>
      <w:pPr>
        <w:pStyle w:val="Style4"/>
        <w:keepNext w:val="0"/>
        <w:keepLines w:val="0"/>
        <w:widowControl w:val="0"/>
        <w:shd w:val="clear" w:color="auto" w:fill="auto"/>
        <w:bidi w:val="0"/>
        <w:spacing w:before="0" w:after="320" w:line="240" w:lineRule="auto"/>
        <w:ind w:left="0" w:right="0" w:firstLine="720"/>
        <w:jc w:val="both"/>
      </w:pPr>
      <w:r>
        <w:rPr>
          <w:color w:val="000000"/>
          <w:spacing w:val="0"/>
          <w:w w:val="100"/>
          <w:position w:val="0"/>
          <w:shd w:val="clear" w:color="auto" w:fill="auto"/>
          <w:lang w:val="ru-RU" w:eastAsia="ru-RU" w:bidi="ru-RU"/>
        </w:rPr>
        <w:t>Финансовое обеспечение скорой медицинской помощи осуществляется с учетом положений пункта 3 статьи 8 Федерального закона «Об обязательном медицинском страховании в Российской Федерации».</w:t>
      </w:r>
    </w:p>
    <w:p>
      <w:pPr>
        <w:pStyle w:val="Style4"/>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ru-RU" w:eastAsia="ru-RU" w:bidi="ru-RU"/>
        </w:rPr>
        <w:t>Медицинская реабилитация</w:t>
      </w:r>
    </w:p>
    <w:p>
      <w:pPr>
        <w:pStyle w:val="Style4"/>
        <w:keepNext w:val="0"/>
        <w:keepLines w:val="0"/>
        <w:widowControl w:val="0"/>
        <w:numPr>
          <w:ilvl w:val="0"/>
          <w:numId w:val="11"/>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Медицинская реабилитация включает в себя комплексное применение природных лечебных ресурсов, лекарственной, немедикаментозной терапии и других методов и осуществляется в медицинских организациях, перечень которых определяется Министерством здравоохранения Омской области, в три этапа:</w:t>
      </w:r>
    </w:p>
    <w:p>
      <w:pPr>
        <w:pStyle w:val="Style4"/>
        <w:keepNext w:val="0"/>
        <w:keepLines w:val="0"/>
        <w:widowControl w:val="0"/>
        <w:numPr>
          <w:ilvl w:val="0"/>
          <w:numId w:val="13"/>
        </w:numPr>
        <w:shd w:val="clear" w:color="auto" w:fill="auto"/>
        <w:tabs>
          <w:tab w:pos="1070" w:val="left"/>
        </w:tabs>
        <w:bidi w:val="0"/>
        <w:spacing w:before="0" w:after="320" w:line="240" w:lineRule="auto"/>
        <w:ind w:left="0" w:right="0" w:firstLine="720"/>
        <w:jc w:val="both"/>
      </w:pPr>
      <w:r>
        <w:rPr>
          <w:color w:val="000000"/>
          <w:spacing w:val="0"/>
          <w:w w:val="100"/>
          <w:position w:val="0"/>
          <w:shd w:val="clear" w:color="auto" w:fill="auto"/>
          <w:lang w:val="ru-RU" w:eastAsia="ru-RU" w:bidi="ru-RU"/>
        </w:rPr>
        <w:t>первый этап - в медицинских организациях, оказывающих специализированную, в том числе высокотехнологичную, медицинскую помощь в стационарных условиях;</w:t>
      </w:r>
    </w:p>
    <w:p>
      <w:pPr>
        <w:pStyle w:val="Style4"/>
        <w:keepNext w:val="0"/>
        <w:keepLines w:val="0"/>
        <w:widowControl w:val="0"/>
        <w:numPr>
          <w:ilvl w:val="0"/>
          <w:numId w:val="13"/>
        </w:numPr>
        <w:shd w:val="clear" w:color="auto" w:fill="auto"/>
        <w:tabs>
          <w:tab w:pos="1713"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второй этап - в медицинских организациях в стационарных условиях;</w:t>
      </w:r>
    </w:p>
    <w:p>
      <w:pPr>
        <w:pStyle w:val="Style4"/>
        <w:keepNext w:val="0"/>
        <w:keepLines w:val="0"/>
        <w:widowControl w:val="0"/>
        <w:numPr>
          <w:ilvl w:val="0"/>
          <w:numId w:val="13"/>
        </w:numPr>
        <w:shd w:val="clear" w:color="auto" w:fill="auto"/>
        <w:tabs>
          <w:tab w:pos="1066" w:val="left"/>
        </w:tabs>
        <w:bidi w:val="0"/>
        <w:spacing w:before="0" w:after="0" w:line="240" w:lineRule="auto"/>
        <w:ind w:left="0" w:right="0" w:firstLine="700"/>
        <w:jc w:val="both"/>
      </w:pPr>
      <w:r>
        <w:rPr>
          <w:color w:val="000000"/>
          <w:spacing w:val="0"/>
          <w:w w:val="100"/>
          <w:position w:val="0"/>
          <w:shd w:val="clear" w:color="auto" w:fill="auto"/>
          <w:lang w:val="ru-RU" w:eastAsia="ru-RU" w:bidi="ru-RU"/>
        </w:rPr>
        <w:t>третий этап - в медицинских организациях при оказании первичной медико-санитарной помощи в амбулаторных условиях и (или) в условиях дневного стационара.</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Медицинская реабилитация на всех этапах осуществляется с учетом маршрутизации пациентов, определяемой Министерством здравоохранения Омской области, при оказании специализированной, в том числе высокотехнологичной, медицинской помощи в условиях дневного и круглосуточного стационаров, а также при оказании первичной медико- санитарной помощи в амбулаторных условиях и в условиях дневного стационара.</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При наличии показаний для получения медицинской реабилитации в условиях дневного стационара или амбулаторно и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медицинской реабилитации на дому, предоставляемой в рамках территориальной программы ОМС, устанавливаются Министерством здравоохранения Российской Федерации.</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Второй и третий этапы медицинской реабилитации могут быть осуществлены на базе санаторно-курортных организаций в рамках реализации территориальной программы ОМС при условии выделения в соответствии с законодательством Российской Федерации объемов медицинской помощи на эти цели.</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 xml:space="preserve">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w:t>
      </w:r>
      <w:r>
        <w:rPr>
          <w:color w:val="000000"/>
          <w:spacing w:val="0"/>
          <w:w w:val="100"/>
          <w:position w:val="0"/>
          <w:shd w:val="clear" w:color="auto" w:fill="auto"/>
          <w:lang w:val="ru-RU" w:eastAsia="ru-RU" w:bidi="ru-RU"/>
        </w:rPr>
        <w:t>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ОМС), в том числе с использованием дистанционных (телемедицинских) технологий (видеоплатформ, отнесенных к медицинским изделиям) и </w:t>
      </w:r>
      <w:r>
        <w:rPr>
          <w:i/>
          <w:iCs/>
          <w:color w:val="000000"/>
          <w:spacing w:val="0"/>
          <w:w w:val="100"/>
          <w:position w:val="0"/>
          <w:shd w:val="clear" w:color="auto" w:fill="auto"/>
          <w:lang w:val="ru-RU" w:eastAsia="ru-RU" w:bidi="ru-RU"/>
        </w:rPr>
        <w:t>с</w:t>
      </w:r>
      <w:r>
        <w:rPr>
          <w:color w:val="000000"/>
          <w:spacing w:val="0"/>
          <w:w w:val="100"/>
          <w:position w:val="0"/>
          <w:shd w:val="clear" w:color="auto" w:fill="auto"/>
          <w:lang w:val="ru-RU" w:eastAsia="ru-RU" w:bidi="ru-RU"/>
        </w:rPr>
        <w:t xml:space="preserve"> последующим внесением соответствующей информации о проведении и результатах такой консультации в медицинскую документацию пациента.</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pPr>
        <w:pStyle w:val="Style4"/>
        <w:keepNext w:val="0"/>
        <w:keepLines w:val="0"/>
        <w:widowControl w:val="0"/>
        <w:shd w:val="clear" w:color="auto" w:fill="auto"/>
        <w:bidi w:val="0"/>
        <w:spacing w:before="0" w:after="320" w:line="240" w:lineRule="auto"/>
        <w:ind w:left="0" w:right="0" w:firstLine="720"/>
        <w:jc w:val="both"/>
      </w:pPr>
      <w:r>
        <w:rPr>
          <w:color w:val="000000"/>
          <w:spacing w:val="0"/>
          <w:w w:val="100"/>
          <w:position w:val="0"/>
          <w:shd w:val="clear" w:color="auto" w:fill="auto"/>
          <w:lang w:val="ru-RU" w:eastAsia="ru-RU" w:bidi="ru-RU"/>
        </w:rPr>
        <w:t>Федеральный фонд ОМС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p>
      <w:pPr>
        <w:pStyle w:val="Style4"/>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ru-RU" w:eastAsia="ru-RU" w:bidi="ru-RU"/>
        </w:rPr>
        <w:t>Паллиативная медицинская помощь</w:t>
      </w:r>
    </w:p>
    <w:p>
      <w:pPr>
        <w:pStyle w:val="Style4"/>
        <w:keepNext w:val="0"/>
        <w:keepLines w:val="0"/>
        <w:widowControl w:val="0"/>
        <w:numPr>
          <w:ilvl w:val="0"/>
          <w:numId w:val="15"/>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части 2 статьи 6 Федерального закона «Об основах охраны здоровья граждан в Российской Федерации», в том числе </w:t>
      </w:r>
      <w:r>
        <w:rPr>
          <w:color w:val="000000"/>
          <w:spacing w:val="0"/>
          <w:w w:val="100"/>
          <w:position w:val="0"/>
          <w:shd w:val="clear" w:color="auto" w:fill="auto"/>
          <w:lang w:val="ru-RU" w:eastAsia="ru-RU" w:bidi="ru-RU"/>
        </w:rPr>
        <w:t>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 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 санитарную помощь.</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За счет бюджетных ассигнований областного бюджета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Министерство здравоохранения Омской области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pPr>
        <w:pStyle w:val="Style4"/>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ru-RU" w:eastAsia="ru-RU" w:bidi="ru-RU"/>
        </w:rPr>
        <w:t>Медицинская помощь гражданам, находящимся в стационарных</w:t>
        <w:br/>
        <w:t>организациях социального обслуживания</w:t>
      </w:r>
    </w:p>
    <w:p>
      <w:pPr>
        <w:pStyle w:val="Style4"/>
        <w:keepNext w:val="0"/>
        <w:keepLines w:val="0"/>
        <w:widowControl w:val="0"/>
        <w:numPr>
          <w:ilvl w:val="0"/>
          <w:numId w:val="15"/>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В целях оказания медицинской помощи гражданам, находящимся в стационарных организациях социального обслуживания, Министерством здравоохранения Омской области организуется взаимодействие стационарных организаций социального обслуживания с близлежащими медицинскими организациями в соответствии со схемой территориального закрепления государственных учреждений здравоохранения Омской области за стационарными организациями социального обслуживания, находящимися в ведении Омской области, утверждаемой Министерством здравоохранения Омской области.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В отношении лиц, находящихся в стационарных организациях социального обслуживания, в рамках базовой программы ОМС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Контроль за полнотой и результатами проведения диспансеризации и диспансерного наблюдения осуществляет Министерство здравоохранения Омской области, а также страховые медицинские организации, в которых застрахованы по ОМС лица, находящиеся в стационарных организациях социального обслуживания, и территориальный фонд ОМС Омской области.</w:t>
      </w:r>
    </w:p>
    <w:p>
      <w:pPr>
        <w:pStyle w:val="Style4"/>
        <w:keepNext w:val="0"/>
        <w:keepLines w:val="0"/>
        <w:widowControl w:val="0"/>
        <w:shd w:val="clear" w:color="auto" w:fill="auto"/>
        <w:bidi w:val="0"/>
        <w:spacing w:before="0" w:after="320" w:line="240" w:lineRule="auto"/>
        <w:ind w:left="0" w:right="0" w:firstLine="720"/>
        <w:jc w:val="both"/>
      </w:pPr>
      <w:r>
        <w:rPr>
          <w:color w:val="000000"/>
          <w:spacing w:val="0"/>
          <w:w w:val="100"/>
          <w:position w:val="0"/>
          <w:shd w:val="clear" w:color="auto" w:fill="auto"/>
          <w:lang w:val="ru-RU" w:eastAsia="ru-RU" w:bidi="ru-RU"/>
        </w:rP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pPr>
        <w:pStyle w:val="Style4"/>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ru-RU" w:eastAsia="ru-RU" w:bidi="ru-RU"/>
        </w:rPr>
        <w:t>Медицинская помощь лицам с психическими расстройствами</w:t>
        <w:br/>
        <w:t>и расстройствами поведения</w:t>
      </w:r>
    </w:p>
    <w:p>
      <w:pPr>
        <w:pStyle w:val="Style4"/>
        <w:keepNext w:val="0"/>
        <w:keepLines w:val="0"/>
        <w:widowControl w:val="0"/>
        <w:numPr>
          <w:ilvl w:val="0"/>
          <w:numId w:val="15"/>
        </w:numPr>
        <w:shd w:val="clear" w:color="auto" w:fill="auto"/>
        <w:tabs>
          <w:tab w:pos="118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областного бюджета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 психиатрами стационарных организаций социального обслуживания в порядке, установленном Министерством здравоохранения Российской Федерации.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w:t>
      </w:r>
      <w:r>
        <w:rPr>
          <w:color w:val="000000"/>
          <w:spacing w:val="0"/>
          <w:w w:val="100"/>
          <w:position w:val="0"/>
          <w:shd w:val="clear" w:color="auto" w:fill="auto"/>
          <w:lang w:val="ru-RU" w:eastAsia="ru-RU" w:bidi="ru-RU"/>
        </w:rPr>
        <w:t>«психиатрия», осуществляется во взаимодействии медицинских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 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Учет таких выездов и количества лиц, которым в ходе выездов оказана психиатрическая медицинская помощь, а также оценку охвата нуждающихся лиц такой выездной работой осуществляет Министерство здравоохранения Омской области.</w:t>
      </w:r>
    </w:p>
    <w:p>
      <w:pPr>
        <w:pStyle w:val="Style4"/>
        <w:keepNext w:val="0"/>
        <w:keepLines w:val="0"/>
        <w:widowControl w:val="0"/>
        <w:shd w:val="clear" w:color="auto" w:fill="auto"/>
        <w:bidi w:val="0"/>
        <w:spacing w:before="0" w:after="320" w:line="240" w:lineRule="auto"/>
        <w:ind w:left="0" w:right="0" w:firstLine="720"/>
        <w:jc w:val="both"/>
      </w:pPr>
      <w:r>
        <w:rPr>
          <w:color w:val="000000"/>
          <w:spacing w:val="0"/>
          <w:w w:val="100"/>
          <w:position w:val="0"/>
          <w:shd w:val="clear" w:color="auto" w:fill="auto"/>
          <w:lang w:val="ru-RU" w:eastAsia="ru-RU" w:bidi="ru-RU"/>
        </w:rP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pPr>
        <w:pStyle w:val="Style4"/>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ru-RU" w:eastAsia="ru-RU" w:bidi="ru-RU"/>
        </w:rPr>
        <w:t>Санаторно-курортное лечение</w:t>
      </w:r>
    </w:p>
    <w:p>
      <w:pPr>
        <w:pStyle w:val="Style4"/>
        <w:keepNext w:val="0"/>
        <w:keepLines w:val="0"/>
        <w:widowControl w:val="0"/>
        <w:numPr>
          <w:ilvl w:val="0"/>
          <w:numId w:val="15"/>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Санаторно-курортное лечение осуществляется при наличии медицинских показаний и отсутствии медицинских противопоказаний для санаторно- 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1 месяца до дня обращения гражданина к лечащему врачу).</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Санаторно-курортное лечение направлено на:</w:t>
      </w:r>
    </w:p>
    <w:p>
      <w:pPr>
        <w:pStyle w:val="Style4"/>
        <w:keepNext w:val="0"/>
        <w:keepLines w:val="0"/>
        <w:widowControl w:val="0"/>
        <w:numPr>
          <w:ilvl w:val="0"/>
          <w:numId w:val="17"/>
        </w:numPr>
        <w:shd w:val="clear" w:color="auto" w:fill="auto"/>
        <w:tabs>
          <w:tab w:pos="1104"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активацию защитно-приспособительных реакций организма в целях профилактики заболеваний, оздоровления;</w:t>
      </w:r>
    </w:p>
    <w:p>
      <w:pPr>
        <w:pStyle w:val="Style4"/>
        <w:keepNext w:val="0"/>
        <w:keepLines w:val="0"/>
        <w:widowControl w:val="0"/>
        <w:numPr>
          <w:ilvl w:val="0"/>
          <w:numId w:val="17"/>
        </w:numPr>
        <w:shd w:val="clear" w:color="auto" w:fill="auto"/>
        <w:tabs>
          <w:tab w:pos="1104"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Оздоровление в рамках санаторно-курортного лечения представляет </w:t>
      </w:r>
      <w:r>
        <w:rPr>
          <w:color w:val="000000"/>
          <w:spacing w:val="0"/>
          <w:w w:val="100"/>
          <w:position w:val="0"/>
          <w:shd w:val="clear" w:color="auto" w:fill="auto"/>
          <w:lang w:val="ru-RU" w:eastAsia="ru-RU" w:bidi="ru-RU"/>
        </w:rPr>
        <w:t>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физического воздействия на организм человека.</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При организации санаторно-курортного лечения федеральными санаторно-курортными организациями в рамках государственного задания решение о выдаче путевки на санаторно-курортное лечение принимается федеральной санаторно-курортной организацией в ходе взаимодействия с медицинской организацией, установившей показания к санаторно- курортному лечению, в порядке, установленном Министерством здравоохранения Российской Федерации, в том числе с использованием информационно-коммуникационных технологий.</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В случае если санаторно-курортное лечение оказывается на базе структурного подразделения федеральной медицинской организации и на эти цели федеральной медицинской организации выделяется государственное задание в установленном порядке, решение о выдаче путевки на санаторно- 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не требуется.</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то решение о выдаче путевки на санаторно-курортное лечение принимается федеральной санаторно- курортной организацией за 7 дней до выписки гражданина из медицинской организации, оказавшей специализированную или высокотехнологичную медицинскую помощь.</w:t>
      </w:r>
    </w:p>
    <w:p>
      <w:pPr>
        <w:pStyle w:val="Style4"/>
        <w:keepNext w:val="0"/>
        <w:keepLines w:val="0"/>
        <w:widowControl w:val="0"/>
        <w:shd w:val="clear" w:color="auto" w:fill="auto"/>
        <w:bidi w:val="0"/>
        <w:spacing w:before="0" w:after="320" w:line="240" w:lineRule="auto"/>
        <w:ind w:left="0" w:right="0" w:firstLine="720"/>
        <w:jc w:val="both"/>
      </w:pPr>
      <w:r>
        <w:rPr>
          <w:color w:val="000000"/>
          <w:spacing w:val="0"/>
          <w:w w:val="100"/>
          <w:position w:val="0"/>
          <w:shd w:val="clear" w:color="auto" w:fill="auto"/>
          <w:lang w:val="ru-RU" w:eastAsia="ru-RU" w:bidi="ru-RU"/>
        </w:rP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pPr>
        <w:pStyle w:val="Style4"/>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ru-RU" w:eastAsia="ru-RU" w:bidi="ru-RU"/>
        </w:rPr>
        <w:t>Формы оказания медицинской помощи</w:t>
      </w:r>
    </w:p>
    <w:p>
      <w:pPr>
        <w:pStyle w:val="Style4"/>
        <w:keepNext w:val="0"/>
        <w:keepLines w:val="0"/>
        <w:widowControl w:val="0"/>
        <w:numPr>
          <w:ilvl w:val="0"/>
          <w:numId w:val="15"/>
        </w:numPr>
        <w:shd w:val="clear" w:color="auto" w:fill="auto"/>
        <w:tabs>
          <w:tab w:pos="1853"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Медицинская помощь оказывается в следующих формах:</w:t>
      </w:r>
    </w:p>
    <w:p>
      <w:pPr>
        <w:pStyle w:val="Style4"/>
        <w:keepNext w:val="0"/>
        <w:keepLines w:val="0"/>
        <w:widowControl w:val="0"/>
        <w:numPr>
          <w:ilvl w:val="0"/>
          <w:numId w:val="19"/>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pPr>
        <w:pStyle w:val="Style4"/>
        <w:keepNext w:val="0"/>
        <w:keepLines w:val="0"/>
        <w:widowControl w:val="0"/>
        <w:numPr>
          <w:ilvl w:val="0"/>
          <w:numId w:val="19"/>
        </w:numPr>
        <w:shd w:val="clear" w:color="auto" w:fill="auto"/>
        <w:tabs>
          <w:tab w:pos="106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неотложная - медицинская помощь, оказываемая при внезапных острых заболеваниях, состояниях, обострении хронических заболеваний без </w:t>
      </w:r>
      <w:r>
        <w:rPr>
          <w:color w:val="000000"/>
          <w:spacing w:val="0"/>
          <w:w w:val="100"/>
          <w:position w:val="0"/>
          <w:shd w:val="clear" w:color="auto" w:fill="auto"/>
          <w:lang w:val="ru-RU" w:eastAsia="ru-RU" w:bidi="ru-RU"/>
        </w:rPr>
        <w:t>явных признаков угрозы жизни пациента;</w:t>
      </w:r>
    </w:p>
    <w:p>
      <w:pPr>
        <w:pStyle w:val="Style4"/>
        <w:keepNext w:val="0"/>
        <w:keepLines w:val="0"/>
        <w:widowControl w:val="0"/>
        <w:numPr>
          <w:ilvl w:val="0"/>
          <w:numId w:val="19"/>
        </w:numPr>
        <w:shd w:val="clear" w:color="auto" w:fill="auto"/>
        <w:tabs>
          <w:tab w:pos="1073"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(фельдшерско-акушерским пунктом (фельдшерским пунктом, фельдшерским здравпунктом), врачебной амбулаторией, отделением врача общей практики (семейного врача) и т.д.) любым доступным способом </w:t>
      </w:r>
      <w:r>
        <w:rPr>
          <w:i/>
          <w:iCs/>
          <w:color w:val="000000"/>
          <w:spacing w:val="0"/>
          <w:w w:val="100"/>
          <w:position w:val="0"/>
          <w:shd w:val="clear" w:color="auto" w:fill="auto"/>
          <w:lang w:val="ru-RU" w:eastAsia="ru-RU" w:bidi="ru-RU"/>
        </w:rPr>
        <w:t>с</w:t>
      </w:r>
      <w:r>
        <w:rPr>
          <w:color w:val="000000"/>
          <w:spacing w:val="0"/>
          <w:w w:val="100"/>
          <w:position w:val="0"/>
          <w:shd w:val="clear" w:color="auto" w:fill="auto"/>
          <w:lang w:val="ru-RU" w:eastAsia="ru-RU" w:bidi="ru-RU"/>
        </w:rPr>
        <w:t xml:space="preserve"> привлечением органов местного самоуправления Омской области.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пунктом 21 части 1 статьи 14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(СОУГО-19).</w:t>
      </w:r>
    </w:p>
    <w:p>
      <w:pPr>
        <w:pStyle w:val="Style4"/>
        <w:keepNext w:val="0"/>
        <w:keepLines w:val="0"/>
        <w:widowControl w:val="0"/>
        <w:numPr>
          <w:ilvl w:val="0"/>
          <w:numId w:val="15"/>
        </w:numPr>
        <w:shd w:val="clear" w:color="auto" w:fill="auto"/>
        <w:tabs>
          <w:tab w:pos="118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Обеспечение граждан лекарственными препаратами, включенными в перечень жизненно необходимых и важнейших лекарственных препаратов, утвержденный распоряжением Правительства Российской Федерации от 12 октября 2019 года № 2406-р, в соответствии с Федеральным законом «Об обращении лекарственных средств» и медицинскими изделиями, включенными в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утвержденный распоряжением Правительства Российской Федерации от 31 декабря 2018 года № 3053-р, а также медицинскими изделиями, включенными в перечень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 утвержденный приказом Министерства здравоохранения Российской Федерации от 9 июля 2025 года № 398н, осуществляется в рамках Программы при оказании:</w:t>
      </w:r>
    </w:p>
    <w:p>
      <w:pPr>
        <w:pStyle w:val="Style4"/>
        <w:keepNext w:val="0"/>
        <w:keepLines w:val="0"/>
        <w:widowControl w:val="0"/>
        <w:numPr>
          <w:ilvl w:val="0"/>
          <w:numId w:val="21"/>
        </w:numPr>
        <w:shd w:val="clear" w:color="auto" w:fill="auto"/>
        <w:tabs>
          <w:tab w:pos="110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первичной медико-санитарной помощи:</w:t>
      </w:r>
    </w:p>
    <w:p>
      <w:pPr>
        <w:pStyle w:val="Style4"/>
        <w:keepNext w:val="0"/>
        <w:keepLines w:val="0"/>
        <w:widowControl w:val="0"/>
        <w:numPr>
          <w:ilvl w:val="0"/>
          <w:numId w:val="23"/>
        </w:numPr>
        <w:shd w:val="clear" w:color="auto" w:fill="auto"/>
        <w:tabs>
          <w:tab w:pos="1014"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в амбулаторных условиях в неотложной форме;</w:t>
      </w:r>
    </w:p>
    <w:p>
      <w:pPr>
        <w:pStyle w:val="Style4"/>
        <w:keepNext w:val="0"/>
        <w:keepLines w:val="0"/>
        <w:widowControl w:val="0"/>
        <w:numPr>
          <w:ilvl w:val="0"/>
          <w:numId w:val="23"/>
        </w:numPr>
        <w:shd w:val="clear" w:color="auto" w:fill="auto"/>
        <w:tabs>
          <w:tab w:pos="1014"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в амбулаторных условиях в плановой форме по профилю «стоматология»;</w:t>
      </w:r>
    </w:p>
    <w:p>
      <w:pPr>
        <w:pStyle w:val="Style4"/>
        <w:keepNext w:val="0"/>
        <w:keepLines w:val="0"/>
        <w:widowControl w:val="0"/>
        <w:numPr>
          <w:ilvl w:val="0"/>
          <w:numId w:val="23"/>
        </w:numPr>
        <w:shd w:val="clear" w:color="auto" w:fill="auto"/>
        <w:tabs>
          <w:tab w:pos="1014"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в амбулаторных условиях в плановой форме при проведении заместительной почечной терапии методами гемодиализа и перитонеального диализа;</w:t>
      </w:r>
    </w:p>
    <w:p>
      <w:pPr>
        <w:pStyle w:val="Style4"/>
        <w:keepNext w:val="0"/>
        <w:keepLines w:val="0"/>
        <w:widowControl w:val="0"/>
        <w:numPr>
          <w:ilvl w:val="0"/>
          <w:numId w:val="23"/>
        </w:numPr>
        <w:shd w:val="clear" w:color="auto" w:fill="auto"/>
        <w:tabs>
          <w:tab w:pos="1014"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в условиях дневного стационара во всех формах;</w:t>
      </w:r>
    </w:p>
    <w:p>
      <w:pPr>
        <w:pStyle w:val="Style4"/>
        <w:keepNext w:val="0"/>
        <w:keepLines w:val="0"/>
        <w:widowControl w:val="0"/>
        <w:numPr>
          <w:ilvl w:val="0"/>
          <w:numId w:val="21"/>
        </w:numPr>
        <w:shd w:val="clear" w:color="auto" w:fill="auto"/>
        <w:tabs>
          <w:tab w:pos="112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специализированной, в том числе высокотехнологичной, медицинской помощи в стационарных условиях и в условиях дневного стационара во всех формах;</w:t>
      </w:r>
    </w:p>
    <w:p>
      <w:pPr>
        <w:pStyle w:val="Style4"/>
        <w:keepNext w:val="0"/>
        <w:keepLines w:val="0"/>
        <w:widowControl w:val="0"/>
        <w:numPr>
          <w:ilvl w:val="0"/>
          <w:numId w:val="21"/>
        </w:numPr>
        <w:shd w:val="clear" w:color="auto" w:fill="auto"/>
        <w:tabs>
          <w:tab w:pos="112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скорой, в том числе скорой специализированной, медицинской помощи в экстренной и неотложной формах вне медицинской организации, а также в амбулаторных и стационарных условиях;</w:t>
      </w:r>
    </w:p>
    <w:p>
      <w:pPr>
        <w:pStyle w:val="Style4"/>
        <w:keepNext w:val="0"/>
        <w:keepLines w:val="0"/>
        <w:widowControl w:val="0"/>
        <w:numPr>
          <w:ilvl w:val="0"/>
          <w:numId w:val="21"/>
        </w:numPr>
        <w:shd w:val="clear" w:color="auto" w:fill="auto"/>
        <w:tabs>
          <w:tab w:pos="112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паллиативной медицинской помощи в стационарных условиях и условиях дневного стационара во всех формах, а также при посещениях на дому.</w:t>
      </w:r>
    </w:p>
    <w:p>
      <w:pPr>
        <w:pStyle w:val="Style4"/>
        <w:keepNext w:val="0"/>
        <w:keepLines w:val="0"/>
        <w:widowControl w:val="0"/>
        <w:shd w:val="clear" w:color="auto" w:fill="auto"/>
        <w:bidi w:val="0"/>
        <w:spacing w:before="0" w:after="320" w:line="240" w:lineRule="auto"/>
        <w:ind w:left="0" w:right="0" w:firstLine="720"/>
        <w:jc w:val="both"/>
      </w:pPr>
      <w:r>
        <w:rPr>
          <w:color w:val="000000"/>
          <w:spacing w:val="0"/>
          <w:w w:val="100"/>
          <w:position w:val="0"/>
          <w:shd w:val="clear" w:color="auto" w:fill="auto"/>
          <w:lang w:val="ru-RU" w:eastAsia="ru-RU" w:bidi="ru-RU"/>
        </w:rPr>
        <w:t>Порядок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pPr>
        <w:pStyle w:val="Style4"/>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ru-RU" w:eastAsia="ru-RU" w:bidi="ru-RU"/>
        </w:rPr>
        <w:t>III. Перечень заболеваний и состояний, оказание медицинской помощи при</w:t>
        <w:br/>
        <w:t>которых осуществляется бесплатно, и категории граждан, оказание</w:t>
        <w:br/>
        <w:t>медицинской помощи которым осуществляется бесплатно</w:t>
      </w:r>
    </w:p>
    <w:p>
      <w:pPr>
        <w:pStyle w:val="Style4"/>
        <w:keepNext w:val="0"/>
        <w:keepLines w:val="0"/>
        <w:widowControl w:val="0"/>
        <w:numPr>
          <w:ilvl w:val="0"/>
          <w:numId w:val="25"/>
        </w:numPr>
        <w:shd w:val="clear" w:color="auto" w:fill="auto"/>
        <w:tabs>
          <w:tab w:pos="123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Гражданин имеет право на бесплатное получение медицинской помощи по видам, формам и условиям ее оказания в соответствии с разделом II Программы при следующих заболеваниях и состояниях:</w:t>
      </w:r>
    </w:p>
    <w:p>
      <w:pPr>
        <w:pStyle w:val="Style4"/>
        <w:keepNext w:val="0"/>
        <w:keepLines w:val="0"/>
        <w:widowControl w:val="0"/>
        <w:numPr>
          <w:ilvl w:val="0"/>
          <w:numId w:val="27"/>
        </w:numPr>
        <w:shd w:val="clear" w:color="auto" w:fill="auto"/>
        <w:tabs>
          <w:tab w:pos="110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инфекционные и паразитарные болезни;</w:t>
      </w:r>
    </w:p>
    <w:p>
      <w:pPr>
        <w:pStyle w:val="Style4"/>
        <w:keepNext w:val="0"/>
        <w:keepLines w:val="0"/>
        <w:widowControl w:val="0"/>
        <w:numPr>
          <w:ilvl w:val="0"/>
          <w:numId w:val="27"/>
        </w:numPr>
        <w:shd w:val="clear" w:color="auto" w:fill="auto"/>
        <w:tabs>
          <w:tab w:pos="113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новообразования;</w:t>
      </w:r>
    </w:p>
    <w:p>
      <w:pPr>
        <w:pStyle w:val="Style4"/>
        <w:keepNext w:val="0"/>
        <w:keepLines w:val="0"/>
        <w:widowControl w:val="0"/>
        <w:numPr>
          <w:ilvl w:val="0"/>
          <w:numId w:val="27"/>
        </w:numPr>
        <w:shd w:val="clear" w:color="auto" w:fill="auto"/>
        <w:tabs>
          <w:tab w:pos="113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болезни эндокринной системы;</w:t>
      </w:r>
    </w:p>
    <w:p>
      <w:pPr>
        <w:pStyle w:val="Style4"/>
        <w:keepNext w:val="0"/>
        <w:keepLines w:val="0"/>
        <w:widowControl w:val="0"/>
        <w:numPr>
          <w:ilvl w:val="0"/>
          <w:numId w:val="27"/>
        </w:numPr>
        <w:shd w:val="clear" w:color="auto" w:fill="auto"/>
        <w:tabs>
          <w:tab w:pos="114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расстройства питания и нарушения обмена веществ;</w:t>
      </w:r>
    </w:p>
    <w:p>
      <w:pPr>
        <w:pStyle w:val="Style4"/>
        <w:keepNext w:val="0"/>
        <w:keepLines w:val="0"/>
        <w:widowControl w:val="0"/>
        <w:numPr>
          <w:ilvl w:val="0"/>
          <w:numId w:val="27"/>
        </w:numPr>
        <w:shd w:val="clear" w:color="auto" w:fill="auto"/>
        <w:tabs>
          <w:tab w:pos="113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болезни нервной системы;</w:t>
      </w:r>
    </w:p>
    <w:p>
      <w:pPr>
        <w:pStyle w:val="Style4"/>
        <w:keepNext w:val="0"/>
        <w:keepLines w:val="0"/>
        <w:widowControl w:val="0"/>
        <w:numPr>
          <w:ilvl w:val="0"/>
          <w:numId w:val="27"/>
        </w:numPr>
        <w:shd w:val="clear" w:color="auto" w:fill="auto"/>
        <w:tabs>
          <w:tab w:pos="113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болезни крови, кроветворных органов;</w:t>
      </w:r>
    </w:p>
    <w:p>
      <w:pPr>
        <w:pStyle w:val="Style4"/>
        <w:keepNext w:val="0"/>
        <w:keepLines w:val="0"/>
        <w:widowControl w:val="0"/>
        <w:numPr>
          <w:ilvl w:val="0"/>
          <w:numId w:val="27"/>
        </w:numPr>
        <w:shd w:val="clear" w:color="auto" w:fill="auto"/>
        <w:tabs>
          <w:tab w:pos="113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отдельные нарушения, вовлекающие иммунный механизм;</w:t>
      </w:r>
    </w:p>
    <w:p>
      <w:pPr>
        <w:pStyle w:val="Style4"/>
        <w:keepNext w:val="0"/>
        <w:keepLines w:val="0"/>
        <w:widowControl w:val="0"/>
        <w:numPr>
          <w:ilvl w:val="0"/>
          <w:numId w:val="27"/>
        </w:numPr>
        <w:shd w:val="clear" w:color="auto" w:fill="auto"/>
        <w:tabs>
          <w:tab w:pos="112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болезни глаза и его придаточного аппарата;</w:t>
      </w:r>
    </w:p>
    <w:p>
      <w:pPr>
        <w:pStyle w:val="Style4"/>
        <w:keepNext w:val="0"/>
        <w:keepLines w:val="0"/>
        <w:widowControl w:val="0"/>
        <w:numPr>
          <w:ilvl w:val="0"/>
          <w:numId w:val="27"/>
        </w:numPr>
        <w:shd w:val="clear" w:color="auto" w:fill="auto"/>
        <w:tabs>
          <w:tab w:pos="113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болезни уха и сосцевидного отростка;</w:t>
      </w:r>
    </w:p>
    <w:p>
      <w:pPr>
        <w:pStyle w:val="Style4"/>
        <w:keepNext w:val="0"/>
        <w:keepLines w:val="0"/>
        <w:widowControl w:val="0"/>
        <w:numPr>
          <w:ilvl w:val="0"/>
          <w:numId w:val="27"/>
        </w:numPr>
        <w:shd w:val="clear" w:color="auto" w:fill="auto"/>
        <w:tabs>
          <w:tab w:pos="125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болезни системы кровообращения;</w:t>
      </w:r>
    </w:p>
    <w:p>
      <w:pPr>
        <w:pStyle w:val="Style4"/>
        <w:keepNext w:val="0"/>
        <w:keepLines w:val="0"/>
        <w:widowControl w:val="0"/>
        <w:numPr>
          <w:ilvl w:val="0"/>
          <w:numId w:val="27"/>
        </w:numPr>
        <w:shd w:val="clear" w:color="auto" w:fill="auto"/>
        <w:tabs>
          <w:tab w:pos="125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болезни органов дыхания;</w:t>
      </w:r>
    </w:p>
    <w:p>
      <w:pPr>
        <w:pStyle w:val="Style4"/>
        <w:keepNext w:val="0"/>
        <w:keepLines w:val="0"/>
        <w:widowControl w:val="0"/>
        <w:numPr>
          <w:ilvl w:val="0"/>
          <w:numId w:val="27"/>
        </w:numPr>
        <w:shd w:val="clear" w:color="auto" w:fill="auto"/>
        <w:tabs>
          <w:tab w:pos="12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болезни органов пищеварения, в том числе болезни полости рта, слюнных желез и челюстей (за исключением зубного протезирования);</w:t>
      </w:r>
    </w:p>
    <w:p>
      <w:pPr>
        <w:pStyle w:val="Style4"/>
        <w:keepNext w:val="0"/>
        <w:keepLines w:val="0"/>
        <w:widowControl w:val="0"/>
        <w:numPr>
          <w:ilvl w:val="0"/>
          <w:numId w:val="27"/>
        </w:numPr>
        <w:shd w:val="clear" w:color="auto" w:fill="auto"/>
        <w:tabs>
          <w:tab w:pos="125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болезни мочеполовой системы;</w:t>
      </w:r>
    </w:p>
    <w:p>
      <w:pPr>
        <w:pStyle w:val="Style4"/>
        <w:keepNext w:val="0"/>
        <w:keepLines w:val="0"/>
        <w:widowControl w:val="0"/>
        <w:numPr>
          <w:ilvl w:val="0"/>
          <w:numId w:val="27"/>
        </w:numPr>
        <w:shd w:val="clear" w:color="auto" w:fill="auto"/>
        <w:tabs>
          <w:tab w:pos="1251" w:val="left"/>
        </w:tabs>
        <w:bidi w:val="0"/>
        <w:spacing w:before="0" w:after="320" w:line="240" w:lineRule="auto"/>
        <w:ind w:left="0" w:right="0" w:firstLine="720"/>
        <w:jc w:val="both"/>
      </w:pPr>
      <w:r>
        <w:rPr>
          <w:color w:val="000000"/>
          <w:spacing w:val="0"/>
          <w:w w:val="100"/>
          <w:position w:val="0"/>
          <w:shd w:val="clear" w:color="auto" w:fill="auto"/>
          <w:lang w:val="ru-RU" w:eastAsia="ru-RU" w:bidi="ru-RU"/>
        </w:rPr>
        <w:t>болезни кожи и подкожной клетчатки;</w:t>
      </w:r>
    </w:p>
    <w:p>
      <w:pPr>
        <w:pStyle w:val="Style4"/>
        <w:keepNext w:val="0"/>
        <w:keepLines w:val="0"/>
        <w:widowControl w:val="0"/>
        <w:numPr>
          <w:ilvl w:val="0"/>
          <w:numId w:val="27"/>
        </w:numPr>
        <w:shd w:val="clear" w:color="auto" w:fill="auto"/>
        <w:tabs>
          <w:tab w:pos="1195"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болезни костно-мышечной системы и соединительной ткани;</w:t>
      </w:r>
    </w:p>
    <w:p>
      <w:pPr>
        <w:pStyle w:val="Style4"/>
        <w:keepNext w:val="0"/>
        <w:keepLines w:val="0"/>
        <w:widowControl w:val="0"/>
        <w:numPr>
          <w:ilvl w:val="0"/>
          <w:numId w:val="27"/>
        </w:numPr>
        <w:shd w:val="clear" w:color="auto" w:fill="auto"/>
        <w:tabs>
          <w:tab w:pos="1210"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травмы, отравления и некоторые другие последствия воздействия внешних причин;</w:t>
      </w:r>
    </w:p>
    <w:p>
      <w:pPr>
        <w:pStyle w:val="Style4"/>
        <w:keepNext w:val="0"/>
        <w:keepLines w:val="0"/>
        <w:widowControl w:val="0"/>
        <w:numPr>
          <w:ilvl w:val="0"/>
          <w:numId w:val="27"/>
        </w:numPr>
        <w:shd w:val="clear" w:color="auto" w:fill="auto"/>
        <w:tabs>
          <w:tab w:pos="1195"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врожденные аномалии (пороки развития);</w:t>
      </w:r>
    </w:p>
    <w:p>
      <w:pPr>
        <w:pStyle w:val="Style4"/>
        <w:keepNext w:val="0"/>
        <w:keepLines w:val="0"/>
        <w:widowControl w:val="0"/>
        <w:numPr>
          <w:ilvl w:val="0"/>
          <w:numId w:val="27"/>
        </w:numPr>
        <w:shd w:val="clear" w:color="auto" w:fill="auto"/>
        <w:tabs>
          <w:tab w:pos="1195"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деформации и хромосомные нарушения;</w:t>
      </w:r>
    </w:p>
    <w:p>
      <w:pPr>
        <w:pStyle w:val="Style4"/>
        <w:keepNext w:val="0"/>
        <w:keepLines w:val="0"/>
        <w:widowControl w:val="0"/>
        <w:numPr>
          <w:ilvl w:val="0"/>
          <w:numId w:val="27"/>
        </w:numPr>
        <w:shd w:val="clear" w:color="auto" w:fill="auto"/>
        <w:tabs>
          <w:tab w:pos="1195"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беременность, роды, послеродовой период и аборты;</w:t>
      </w:r>
    </w:p>
    <w:p>
      <w:pPr>
        <w:pStyle w:val="Style4"/>
        <w:keepNext w:val="0"/>
        <w:keepLines w:val="0"/>
        <w:widowControl w:val="0"/>
        <w:numPr>
          <w:ilvl w:val="0"/>
          <w:numId w:val="27"/>
        </w:numPr>
        <w:shd w:val="clear" w:color="auto" w:fill="auto"/>
        <w:tabs>
          <w:tab w:pos="1224"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отдельные состояния, возникающие у детей в перинатальный период;</w:t>
      </w:r>
    </w:p>
    <w:p>
      <w:pPr>
        <w:pStyle w:val="Style4"/>
        <w:keepNext w:val="0"/>
        <w:keepLines w:val="0"/>
        <w:widowControl w:val="0"/>
        <w:numPr>
          <w:ilvl w:val="0"/>
          <w:numId w:val="27"/>
        </w:numPr>
        <w:shd w:val="clear" w:color="auto" w:fill="auto"/>
        <w:tabs>
          <w:tab w:pos="1224"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психические расстройства и расстройства поведения;</w:t>
      </w:r>
    </w:p>
    <w:p>
      <w:pPr>
        <w:pStyle w:val="Style4"/>
        <w:keepNext w:val="0"/>
        <w:keepLines w:val="0"/>
        <w:widowControl w:val="0"/>
        <w:numPr>
          <w:ilvl w:val="0"/>
          <w:numId w:val="27"/>
        </w:numPr>
        <w:shd w:val="clear" w:color="auto" w:fill="auto"/>
        <w:tabs>
          <w:tab w:pos="1214"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симптомы, признаки и отклонения от нормы, не отнесенные к заболеваниям и состояниям, указанным в настоящем пункте, выявленные при клинических и лабораторных исследованиях.</w:t>
      </w:r>
    </w:p>
    <w:p>
      <w:pPr>
        <w:pStyle w:val="Style4"/>
        <w:keepNext w:val="0"/>
        <w:keepLines w:val="0"/>
        <w:widowControl w:val="0"/>
        <w:numPr>
          <w:ilvl w:val="0"/>
          <w:numId w:val="25"/>
        </w:numPr>
        <w:shd w:val="clear" w:color="auto" w:fill="auto"/>
        <w:tabs>
          <w:tab w:pos="118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Гражданин имеет право не реже одного раза в год на бесплатный профилактический медицинский осмотр, в том числе в рамках диспансеризации.</w:t>
      </w:r>
    </w:p>
    <w:p>
      <w:pPr>
        <w:pStyle w:val="Style4"/>
        <w:keepNext w:val="0"/>
        <w:keepLines w:val="0"/>
        <w:widowControl w:val="0"/>
        <w:numPr>
          <w:ilvl w:val="0"/>
          <w:numId w:val="25"/>
        </w:numPr>
        <w:shd w:val="clear" w:color="auto" w:fill="auto"/>
        <w:tabs>
          <w:tab w:pos="117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В соответствии с законодательством Российской Федерации отдельные категории граждан имеют право:</w:t>
      </w:r>
    </w:p>
    <w:p>
      <w:pPr>
        <w:pStyle w:val="Style4"/>
        <w:keepNext w:val="0"/>
        <w:keepLines w:val="0"/>
        <w:widowControl w:val="0"/>
        <w:numPr>
          <w:ilvl w:val="0"/>
          <w:numId w:val="29"/>
        </w:numPr>
        <w:shd w:val="clear" w:color="auto" w:fill="auto"/>
        <w:tabs>
          <w:tab w:pos="1088"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на обеспечение лекарственными препаратами в соответствии с разделом V Программы;</w:t>
      </w:r>
    </w:p>
    <w:p>
      <w:pPr>
        <w:pStyle w:val="Style4"/>
        <w:keepNext w:val="0"/>
        <w:keepLines w:val="0"/>
        <w:widowControl w:val="0"/>
        <w:numPr>
          <w:ilvl w:val="0"/>
          <w:numId w:val="29"/>
        </w:numPr>
        <w:shd w:val="clear" w:color="auto" w:fill="auto"/>
        <w:tabs>
          <w:tab w:pos="1088"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на профилактические медицинские осмотры и диспансеризацию, включая углубленную диспансеризацию и диспансеризацию взрослого населения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pPr>
        <w:pStyle w:val="Style4"/>
        <w:keepNext w:val="0"/>
        <w:keepLines w:val="0"/>
        <w:widowControl w:val="0"/>
        <w:numPr>
          <w:ilvl w:val="0"/>
          <w:numId w:val="29"/>
        </w:numPr>
        <w:shd w:val="clear" w:color="auto" w:fill="auto"/>
        <w:tabs>
          <w:tab w:pos="1088"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pPr>
        <w:pStyle w:val="Style4"/>
        <w:keepNext w:val="0"/>
        <w:keepLines w:val="0"/>
        <w:widowControl w:val="0"/>
        <w:numPr>
          <w:ilvl w:val="0"/>
          <w:numId w:val="29"/>
        </w:numPr>
        <w:shd w:val="clear" w:color="auto" w:fill="auto"/>
        <w:tabs>
          <w:tab w:pos="1088"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на диспансеризацию - пребывающие в стационарных организациях дети-сироты и дети, находящиеся в трудной жизненной ситуации, а также дети- 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pPr>
        <w:pStyle w:val="Style4"/>
        <w:keepNext w:val="0"/>
        <w:keepLines w:val="0"/>
        <w:widowControl w:val="0"/>
        <w:numPr>
          <w:ilvl w:val="0"/>
          <w:numId w:val="29"/>
        </w:numPr>
        <w:shd w:val="clear" w:color="auto" w:fill="auto"/>
        <w:tabs>
          <w:tab w:pos="1088"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на 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pPr>
        <w:pStyle w:val="Style4"/>
        <w:keepNext w:val="0"/>
        <w:keepLines w:val="0"/>
        <w:widowControl w:val="0"/>
        <w:numPr>
          <w:ilvl w:val="0"/>
          <w:numId w:val="29"/>
        </w:numPr>
        <w:shd w:val="clear" w:color="auto" w:fill="auto"/>
        <w:tabs>
          <w:tab w:pos="1088"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доноры, давшие письменное информированное добровольное согласие на изъятие своих органов и (или) тканей для трансплантации;</w:t>
      </w:r>
    </w:p>
    <w:p>
      <w:pPr>
        <w:pStyle w:val="Style4"/>
        <w:keepNext w:val="0"/>
        <w:keepLines w:val="0"/>
        <w:widowControl w:val="0"/>
        <w:numPr>
          <w:ilvl w:val="0"/>
          <w:numId w:val="29"/>
        </w:numPr>
        <w:shd w:val="clear" w:color="auto" w:fill="auto"/>
        <w:tabs>
          <w:tab w:pos="1088"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на 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 - беременные женщины;</w:t>
      </w:r>
    </w:p>
    <w:p>
      <w:pPr>
        <w:pStyle w:val="Style4"/>
        <w:keepNext w:val="0"/>
        <w:keepLines w:val="0"/>
        <w:widowControl w:val="0"/>
        <w:numPr>
          <w:ilvl w:val="0"/>
          <w:numId w:val="29"/>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на аудиологический скрининг - новорожденные дети и дети первого года жизни;</w:t>
      </w:r>
    </w:p>
    <w:p>
      <w:pPr>
        <w:pStyle w:val="Style4"/>
        <w:keepNext w:val="0"/>
        <w:keepLines w:val="0"/>
        <w:widowControl w:val="0"/>
        <w:numPr>
          <w:ilvl w:val="0"/>
          <w:numId w:val="29"/>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на неонатальный скрининг (классическая фенилкетонурия; фенилкетонурия В;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pPr>
        <w:pStyle w:val="Style4"/>
        <w:keepNext w:val="0"/>
        <w:keepLines w:val="0"/>
        <w:widowControl w:val="0"/>
        <w:numPr>
          <w:ilvl w:val="0"/>
          <w:numId w:val="29"/>
        </w:numPr>
        <w:shd w:val="clear" w:color="auto" w:fill="auto"/>
        <w:tabs>
          <w:tab w:pos="1215" w:val="left"/>
          <w:tab w:pos="441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на расширенный неонатальный скрининг (недостаточность других уточненных витаминов группы В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КоА-мутазы (ацидемия метилмалоновая); метилмалоновая ацидемия (недостаточность кобаламина А); метилмалоновая ацидемия (недостаточность кобаламина В); метилмалоновая ацидемия (дефицит метилмалонил КоА-эпимеразы); метилмалоновая ацидемия (недостаточность кобаламина В); метилмалоновая ацидемия (недостаточность кобаламина С); изовалериановая ацидемия (ацидемия изовалериановая); 3-гидрокси-3-метилглутаровая</w:t>
        <w:tab/>
        <w:t>недостаточность; бета-кетотиолазная</w:t>
      </w:r>
    </w:p>
    <w:p>
      <w:pPr>
        <w:pStyle w:val="Style4"/>
        <w:keepNext w:val="0"/>
        <w:keepLines w:val="0"/>
        <w:widowControl w:val="0"/>
        <w:shd w:val="clear" w:color="auto" w:fill="auto"/>
        <w:tabs>
          <w:tab w:pos="7560" w:val="left"/>
        </w:tabs>
        <w:bidi w:val="0"/>
        <w:spacing w:before="0" w:after="0" w:line="240" w:lineRule="auto"/>
        <w:ind w:left="0" w:right="0" w:firstLine="0"/>
        <w:jc w:val="both"/>
      </w:pPr>
      <w:r>
        <w:rPr>
          <w:color w:val="000000"/>
          <w:spacing w:val="0"/>
          <w:w w:val="100"/>
          <w:position w:val="0"/>
          <w:shd w:val="clear" w:color="auto" w:fill="auto"/>
          <w:lang w:val="ru-RU" w:eastAsia="ru-RU" w:bidi="ru-RU"/>
        </w:rPr>
        <w:t>недостаточность; нарушения обмена жирных кислот (первичная карнитиновая недостаточность); среднецепочечная ацил-КоА дегидрогеназная недостаточность; длинноцепочечная ацетил-Ко А</w:t>
        <w:tab/>
        <w:t>дегидрогеназная</w:t>
      </w:r>
    </w:p>
    <w:p>
      <w:pPr>
        <w:pStyle w:val="Style4"/>
        <w:keepNext w:val="0"/>
        <w:keepLines w:val="0"/>
        <w:widowControl w:val="0"/>
        <w:shd w:val="clear" w:color="auto" w:fill="auto"/>
        <w:tabs>
          <w:tab w:pos="5179" w:val="left"/>
          <w:tab w:pos="7771" w:val="left"/>
        </w:tabs>
        <w:bidi w:val="0"/>
        <w:spacing w:before="0" w:after="0" w:line="240" w:lineRule="auto"/>
        <w:ind w:left="0" w:right="0" w:firstLine="0"/>
        <w:jc w:val="both"/>
      </w:pPr>
      <w:r>
        <w:rPr>
          <w:color w:val="000000"/>
          <w:spacing w:val="0"/>
          <w:w w:val="100"/>
          <w:position w:val="0"/>
          <w:shd w:val="clear" w:color="auto" w:fill="auto"/>
          <w:lang w:val="ru-RU" w:eastAsia="ru-RU" w:bidi="ru-RU"/>
        </w:rPr>
        <w:t>недостаточность (дефицит очень длинной цепи ацил-КоА-дегидрогеназы (УЬСАВ)); очень длинноцепочечная ацетил-Ко А дегидрогеназная недостаточность (дефицит очень длинной цепи ацил-КоА-дегидрогеназы (УЬСАВ));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ацидемея,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Х-сцепленная адрено лейкодистрофия; дефицит</w:t>
        <w:tab/>
        <w:t>декарбоксилазы</w:t>
        <w:tab/>
        <w:t>ароматических</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Ь-аминокислот (ААВСВ)) - новорожденные, родившиеся живыми.</w:t>
      </w:r>
    </w:p>
    <w:p>
      <w:pPr>
        <w:pStyle w:val="Style4"/>
        <w:keepNext w:val="0"/>
        <w:keepLines w:val="0"/>
        <w:widowControl w:val="0"/>
        <w:numPr>
          <w:ilvl w:val="0"/>
          <w:numId w:val="31"/>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w:t>
      </w:r>
      <w:r>
        <w:rPr>
          <w:color w:val="000000"/>
          <w:spacing w:val="0"/>
          <w:w w:val="100"/>
          <w:position w:val="0"/>
          <w:shd w:val="clear" w:color="auto" w:fill="auto"/>
          <w:lang w:val="ru-RU" w:eastAsia="ru-RU" w:bidi="ru-RU"/>
        </w:rPr>
        <w:t>на получение правовой, психологической и медико-социальной помощи, в том числе по профилактике прерывания беременности.</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Министерство здравоохранения Омской области в порядке, утверждаемом Министерством здравоохранения Российской Федерации, ведет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оценивают эффективность такой помощи.</w:t>
      </w:r>
    </w:p>
    <w:p>
      <w:pPr>
        <w:pStyle w:val="Style4"/>
        <w:keepNext w:val="0"/>
        <w:keepLines w:val="0"/>
        <w:widowControl w:val="0"/>
        <w:numPr>
          <w:ilvl w:val="0"/>
          <w:numId w:val="31"/>
        </w:numPr>
        <w:shd w:val="clear" w:color="auto" w:fill="auto"/>
        <w:tabs>
          <w:tab w:pos="1182" w:val="left"/>
        </w:tabs>
        <w:bidi w:val="0"/>
        <w:spacing w:before="0" w:after="0" w:line="240" w:lineRule="auto"/>
        <w:ind w:left="0" w:right="0" w:firstLine="700"/>
        <w:jc w:val="both"/>
      </w:pPr>
      <w:r>
        <w:rPr>
          <w:color w:val="000000"/>
          <w:spacing w:val="0"/>
          <w:w w:val="100"/>
          <w:position w:val="0"/>
          <w:shd w:val="clear" w:color="auto" w:fill="auto"/>
          <w:lang w:val="ru-RU" w:eastAsia="ru-RU" w:bidi="ru-RU"/>
        </w:rPr>
        <w:t>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порядком оказания медицинской помощи, утвержденным Министерством здравоохранения Российской Федерации.</w:t>
      </w:r>
    </w:p>
    <w:p>
      <w:pPr>
        <w:pStyle w:val="Style4"/>
        <w:keepNext w:val="0"/>
        <w:keepLines w:val="0"/>
        <w:widowControl w:val="0"/>
        <w:numPr>
          <w:ilvl w:val="0"/>
          <w:numId w:val="31"/>
        </w:numPr>
        <w:shd w:val="clear" w:color="auto" w:fill="auto"/>
        <w:tabs>
          <w:tab w:pos="1177"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pPr>
        <w:pStyle w:val="Style4"/>
        <w:keepNext w:val="0"/>
        <w:keepLines w:val="0"/>
        <w:widowControl w:val="0"/>
        <w:numPr>
          <w:ilvl w:val="0"/>
          <w:numId w:val="31"/>
        </w:numPr>
        <w:shd w:val="clear" w:color="auto" w:fill="auto"/>
        <w:tabs>
          <w:tab w:pos="1182" w:val="left"/>
        </w:tabs>
        <w:bidi w:val="0"/>
        <w:spacing w:before="0" w:after="320" w:line="240" w:lineRule="auto"/>
        <w:ind w:left="0" w:right="0" w:firstLine="700"/>
        <w:jc w:val="both"/>
      </w:pPr>
      <w:r>
        <w:rPr>
          <w:color w:val="000000"/>
          <w:spacing w:val="0"/>
          <w:w w:val="100"/>
          <w:position w:val="0"/>
          <w:shd w:val="clear" w:color="auto" w:fill="auto"/>
          <w:lang w:val="ru-RU" w:eastAsia="ru-RU" w:bidi="ru-RU"/>
        </w:rPr>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pPr>
        <w:pStyle w:val="Style4"/>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ru-RU" w:eastAsia="ru-RU" w:bidi="ru-RU"/>
        </w:rPr>
        <w:t>IV. Территориальная программа ОМС</w:t>
      </w:r>
    </w:p>
    <w:p>
      <w:pPr>
        <w:pStyle w:val="Style4"/>
        <w:keepNext w:val="0"/>
        <w:keepLines w:val="0"/>
        <w:widowControl w:val="0"/>
        <w:numPr>
          <w:ilvl w:val="0"/>
          <w:numId w:val="33"/>
        </w:numPr>
        <w:shd w:val="clear" w:color="auto" w:fill="auto"/>
        <w:tabs>
          <w:tab w:pos="1177" w:val="left"/>
        </w:tabs>
        <w:bidi w:val="0"/>
        <w:spacing w:before="0" w:after="0" w:line="240" w:lineRule="auto"/>
        <w:ind w:left="0" w:right="0" w:firstLine="700"/>
        <w:jc w:val="both"/>
      </w:pPr>
      <w:r>
        <w:rPr>
          <w:color w:val="000000"/>
          <w:spacing w:val="0"/>
          <w:w w:val="100"/>
          <w:position w:val="0"/>
          <w:shd w:val="clear" w:color="auto" w:fill="auto"/>
          <w:lang w:val="ru-RU" w:eastAsia="ru-RU" w:bidi="ru-RU"/>
        </w:rPr>
        <w:t>Территориальная программа ОМС является составной частью Программы.</w:t>
      </w:r>
    </w:p>
    <w:p>
      <w:pPr>
        <w:pStyle w:val="Style4"/>
        <w:keepNext w:val="0"/>
        <w:keepLines w:val="0"/>
        <w:widowControl w:val="0"/>
        <w:numPr>
          <w:ilvl w:val="0"/>
          <w:numId w:val="33"/>
        </w:numPr>
        <w:shd w:val="clear" w:color="auto" w:fill="auto"/>
        <w:tabs>
          <w:tab w:pos="1177" w:val="left"/>
        </w:tabs>
        <w:bidi w:val="0"/>
        <w:spacing w:before="0" w:after="320" w:line="240" w:lineRule="auto"/>
        <w:ind w:left="0" w:right="0" w:firstLine="700"/>
        <w:jc w:val="both"/>
      </w:pPr>
      <w:r>
        <w:rPr>
          <w:color w:val="000000"/>
          <w:spacing w:val="0"/>
          <w:w w:val="100"/>
          <w:position w:val="0"/>
          <w:shd w:val="clear" w:color="auto" w:fill="auto"/>
          <w:lang w:val="ru-RU" w:eastAsia="ru-RU" w:bidi="ru-RU"/>
        </w:rPr>
        <w:t>В рамках территориальной программы ОМС застрахованным лицам при заболеваниях и состояниях, указанных в пункте 20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pPr>
        <w:pStyle w:val="Style4"/>
        <w:keepNext w:val="0"/>
        <w:keepLines w:val="0"/>
        <w:widowControl w:val="0"/>
        <w:numPr>
          <w:ilvl w:val="0"/>
          <w:numId w:val="35"/>
        </w:numPr>
        <w:shd w:val="clear" w:color="auto" w:fill="auto"/>
        <w:tabs>
          <w:tab w:pos="107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ОМС, пациентов из числа ветеранов боевых действий, их супругов, а также супругов участников специальной военной операции, пропавшего без вести, а также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w:t>
      </w:r>
    </w:p>
    <w:p>
      <w:pPr>
        <w:pStyle w:val="Style4"/>
        <w:keepNext w:val="0"/>
        <w:keepLines w:val="0"/>
        <w:widowControl w:val="0"/>
        <w:numPr>
          <w:ilvl w:val="0"/>
          <w:numId w:val="35"/>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скорая медицинская помощь (за исключением санитарно-авиационной эвакуации);</w:t>
      </w:r>
    </w:p>
    <w:p>
      <w:pPr>
        <w:pStyle w:val="Style4"/>
        <w:keepNext w:val="0"/>
        <w:keepLines w:val="0"/>
        <w:widowControl w:val="0"/>
        <w:numPr>
          <w:ilvl w:val="0"/>
          <w:numId w:val="35"/>
        </w:numPr>
        <w:shd w:val="clear" w:color="auto" w:fill="auto"/>
        <w:tabs>
          <w:tab w:pos="107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ОМС, в стационарных условиях и условиях дневного стационара, в том числе больным с онкологическими заболеваниями, больным с гепатитом С в соответствии с клиническими рекомендациями, включая предоставление лекарственных препаратов, включенных в перечень жизненно необходимых и важнейших лекарственных препаратов, утвержденный распоряжением Правительства Российской Федерации от 12 октября 2019 года № 2406-р, в соответствии с законодательством Российской Федерации;</w:t>
      </w:r>
    </w:p>
    <w:p>
      <w:pPr>
        <w:pStyle w:val="Style4"/>
        <w:keepNext w:val="0"/>
        <w:keepLines w:val="0"/>
        <w:widowControl w:val="0"/>
        <w:numPr>
          <w:ilvl w:val="0"/>
          <w:numId w:val="35"/>
        </w:numPr>
        <w:shd w:val="clear" w:color="auto" w:fill="auto"/>
        <w:tabs>
          <w:tab w:pos="107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применение вспомогательных репродуктивных технологий (экстракорпорального оплодотворения), включая предоставление лекарственных препаратов, включенных в перечень жизненно необходимых и важнейших лекарственных препаратов, утвержденный распоряжением Правительства Российской Федерации от 12 октября 2019 года № 2406-р, в соответствии с законодательством Российской Федерации;</w:t>
      </w:r>
    </w:p>
    <w:p>
      <w:pPr>
        <w:pStyle w:val="Style4"/>
        <w:keepNext w:val="0"/>
        <w:keepLines w:val="0"/>
        <w:widowControl w:val="0"/>
        <w:numPr>
          <w:ilvl w:val="0"/>
          <w:numId w:val="35"/>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w:t>
      </w:r>
    </w:p>
    <w:p>
      <w:pPr>
        <w:pStyle w:val="Style4"/>
        <w:keepNext w:val="0"/>
        <w:keepLines w:val="0"/>
        <w:widowControl w:val="0"/>
        <w:numPr>
          <w:ilvl w:val="0"/>
          <w:numId w:val="37"/>
        </w:numPr>
        <w:shd w:val="clear" w:color="auto" w:fill="auto"/>
        <w:tabs>
          <w:tab w:pos="118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Порядок формирования тарифа на оплату медицинской помощи по ОМС устанавливается в соответствии с Федеральным законом «Об обязательном медицинском страховании в Российской Федерации». Структура тарифа на оплату медицинской помощи по ОМС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w:t>
      </w:r>
      <w:r>
        <w:rPr>
          <w:color w:val="000000"/>
          <w:spacing w:val="0"/>
          <w:w w:val="100"/>
          <w:position w:val="0"/>
          <w:shd w:val="clear" w:color="auto" w:fill="auto"/>
          <w:lang w:val="ru-RU" w:eastAsia="ru-RU" w:bidi="ru-RU"/>
        </w:rPr>
        <w:t>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ОМС.</w:t>
      </w:r>
    </w:p>
    <w:p>
      <w:pPr>
        <w:pStyle w:val="Style4"/>
        <w:keepNext w:val="0"/>
        <w:keepLines w:val="0"/>
        <w:widowControl w:val="0"/>
        <w:numPr>
          <w:ilvl w:val="0"/>
          <w:numId w:val="37"/>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Разработка, внедрение, развитие, модернизация и техническое обслуживание государственной информационной системы в сфере здравоохранения Омской области и ее подсистем осуществляются за счет средств областного бюджета. Расходы на разработку, внедрение, развитие, модернизацию и техническое обслуживание медицинских информационных систем медицинских организаций могут быть оплачены за счет средств ОМС при наличии исключительных / неисключительных прав на использование программного продукта (информационной системы) в медицинской организации и постановке программного продукта на учет медицинской организации.</w:t>
      </w:r>
    </w:p>
    <w:p>
      <w:pPr>
        <w:pStyle w:val="Style4"/>
        <w:keepNext w:val="0"/>
        <w:keepLines w:val="0"/>
        <w:widowControl w:val="0"/>
        <w:numPr>
          <w:ilvl w:val="0"/>
          <w:numId w:val="37"/>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Предельный размер расходов на арендную плату, в том числе на финансовую аренду объектов (лизинг), а также выкуп предмета лизинга в соответствии со статьей 624 Гражданского кодекса Российской Федерации за один объект аренды в расчете на год, осуществляемых за счет средств ОМС, не должен превышать лимит, установленный для приобретения основных средств.</w:t>
      </w:r>
    </w:p>
    <w:p>
      <w:pPr>
        <w:pStyle w:val="Style4"/>
        <w:keepNext w:val="0"/>
        <w:keepLines w:val="0"/>
        <w:widowControl w:val="0"/>
        <w:numPr>
          <w:ilvl w:val="0"/>
          <w:numId w:val="37"/>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Тарифы на оплату медицинской помощи по ОМС устанавливаются в соответствии с принятыми в территориальной программе ОМС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pPr>
        <w:pStyle w:val="Style4"/>
        <w:keepNext w:val="0"/>
        <w:keepLines w:val="0"/>
        <w:widowControl w:val="0"/>
        <w:numPr>
          <w:ilvl w:val="0"/>
          <w:numId w:val="39"/>
        </w:numPr>
        <w:shd w:val="clear" w:color="auto" w:fill="auto"/>
        <w:tabs>
          <w:tab w:pos="1108" w:val="left"/>
        </w:tabs>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врачам-терапевтам участковым, врачам-педиатрам участковым, врачам общей практики (семейным врачам), медицинским сестрам участковым врачей- терапевтов участковых, врачей-педиатров участковых и медицинским сестрам врачей общей практики (семейных врачей) за оказанную медицинскую помощь </w:t>
      </w:r>
      <w:r>
        <w:rPr>
          <w:color w:val="000000"/>
          <w:spacing w:val="0"/>
          <w:w w:val="100"/>
          <w:position w:val="0"/>
          <w:shd w:val="clear" w:color="auto" w:fill="auto"/>
          <w:lang w:val="ru-RU" w:eastAsia="ru-RU" w:bidi="ru-RU"/>
        </w:rPr>
        <w:t>в амбулаторных условиях;</w:t>
      </w:r>
    </w:p>
    <w:p>
      <w:pPr>
        <w:pStyle w:val="Style4"/>
        <w:keepNext w:val="0"/>
        <w:keepLines w:val="0"/>
        <w:widowControl w:val="0"/>
        <w:numPr>
          <w:ilvl w:val="0"/>
          <w:numId w:val="39"/>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pPr>
        <w:pStyle w:val="Style4"/>
        <w:keepNext w:val="0"/>
        <w:keepLines w:val="0"/>
        <w:widowControl w:val="0"/>
        <w:numPr>
          <w:ilvl w:val="0"/>
          <w:numId w:val="39"/>
        </w:numPr>
        <w:shd w:val="clear" w:color="auto" w:fill="auto"/>
        <w:tabs>
          <w:tab w:pos="106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pPr>
        <w:pStyle w:val="Style4"/>
        <w:keepNext w:val="0"/>
        <w:keepLines w:val="0"/>
        <w:widowControl w:val="0"/>
        <w:numPr>
          <w:ilvl w:val="0"/>
          <w:numId w:val="39"/>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врачам-специалистам за оказанную медицинскую помощь в амбулаторных условиях.</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Территориальный фонд ОМС Омской области осуществляет ежеквартально мониторинг и анализ уровня оплаты труда медицинских работников медицинских организаций государственной системы здравоохранения Омской области, участвующих в территориальной программе ОМС, в разрезе отдельных специальностей </w:t>
      </w:r>
      <w:r>
        <w:rPr>
          <w:i/>
          <w:iCs/>
          <w:color w:val="000000"/>
          <w:spacing w:val="0"/>
          <w:w w:val="100"/>
          <w:position w:val="0"/>
          <w:shd w:val="clear" w:color="auto" w:fill="auto"/>
          <w:lang w:val="ru-RU" w:eastAsia="ru-RU" w:bidi="ru-RU"/>
        </w:rPr>
        <w:t>с</w:t>
      </w:r>
      <w:r>
        <w:rPr>
          <w:color w:val="000000"/>
          <w:spacing w:val="0"/>
          <w:w w:val="100"/>
          <w:position w:val="0"/>
          <w:shd w:val="clear" w:color="auto" w:fill="auto"/>
          <w:lang w:val="ru-RU" w:eastAsia="ru-RU" w:bidi="ru-RU"/>
        </w:rPr>
        <w:t xml:space="preserve"> представлением результатов мониторинга в Федеральный фонд ОМС и информированием Министерства здравоохранения Омской области для принятия необходимых мер по обеспечению должного уровня оплаты труда медицинских работников.</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33. После завершения участия медицинской организации, подведомственной Министерству здравоохранения Омской области, либо медицинской организации частной системы здравоохранения в реализации территориальной программы ОМС на соответствующий год при условии исполнения всех обязательств по договору на оказание и оплату медицинской помощи по ОМС и при отсутствии у этих медицинских организаций просроченной кредиторской задолженности, кредиторской задолженности по оплате труда, начислениям на выплаты по оплате труда за счет средств ОМС допускается использование этими медицинскими организациями средств ОМС, полученных за оказанную медицинскую помощь (далее - остатки средств), по следующим направлениям расходования:</w:t>
      </w:r>
    </w:p>
    <w:p>
      <w:pPr>
        <w:pStyle w:val="Style4"/>
        <w:keepNext w:val="0"/>
        <w:keepLines w:val="0"/>
        <w:widowControl w:val="0"/>
        <w:numPr>
          <w:ilvl w:val="0"/>
          <w:numId w:val="41"/>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приобретение основных средств, прочих материальных запасов, применяемых при оказании медицинской помощи при заболеваниях (состояниях), включенных в базовую программу ОМС, независимо от их стоимости, в том числе с последующей передачей в другую медицинскую организацию, подведомственную Министерству здравоохранения Омской области и участвующую в реализации территориальной программы ОМС, в порядке, установленном законодательством;</w:t>
      </w:r>
    </w:p>
    <w:p>
      <w:pPr>
        <w:pStyle w:val="Style4"/>
        <w:keepNext w:val="0"/>
        <w:keepLines w:val="0"/>
        <w:widowControl w:val="0"/>
        <w:numPr>
          <w:ilvl w:val="0"/>
          <w:numId w:val="41"/>
        </w:numPr>
        <w:shd w:val="clear" w:color="auto" w:fill="auto"/>
        <w:tabs>
          <w:tab w:pos="107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приобретение медицинского инструментария, реактивов и химикатов, используемых при проведении лабораторных и инструментальных исследований, а также лекарственных препаратов, включенных в перечень жизненно необходимых и важнейших лекарственных препаратов, утвержденный распоряжением Правительства Российской Федерации от 12 октября 2019 года № 2406-р, применяемых при оказании медицинской помощи при заболеваниях (состояниях), включенных в базовую программу ОМС, в том числе с последующей передачей в другую медицинскую </w:t>
      </w:r>
      <w:r>
        <w:rPr>
          <w:color w:val="000000"/>
          <w:spacing w:val="0"/>
          <w:w w:val="100"/>
          <w:position w:val="0"/>
          <w:shd w:val="clear" w:color="auto" w:fill="auto"/>
          <w:lang w:val="ru-RU" w:eastAsia="ru-RU" w:bidi="ru-RU"/>
        </w:rPr>
        <w:t>организацию, подведомственную Министерству здравоохранения Омской области и участвующую в реализации территориальной программы ОМС, в порядке, установленном законодательством;</w:t>
      </w:r>
    </w:p>
    <w:p>
      <w:pPr>
        <w:pStyle w:val="Style4"/>
        <w:keepNext w:val="0"/>
        <w:keepLines w:val="0"/>
        <w:widowControl w:val="0"/>
        <w:numPr>
          <w:ilvl w:val="0"/>
          <w:numId w:val="41"/>
        </w:numPr>
        <w:shd w:val="clear" w:color="auto" w:fill="auto"/>
        <w:tabs>
          <w:tab w:pos="1071"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оплата образовательных услуг по основным профессиональным образовательным программам, основным программам профессионального обучения, а также дополнительным профессиональным программам для работников, участвующих в оказании медицинской помощи при заболеваниях (состояниях), включенных в базовую программу ОМС;</w:t>
      </w:r>
    </w:p>
    <w:p>
      <w:pPr>
        <w:pStyle w:val="Style4"/>
        <w:keepNext w:val="0"/>
        <w:keepLines w:val="0"/>
        <w:widowControl w:val="0"/>
        <w:numPr>
          <w:ilvl w:val="0"/>
          <w:numId w:val="41"/>
        </w:numPr>
        <w:shd w:val="clear" w:color="auto" w:fill="auto"/>
        <w:tabs>
          <w:tab w:pos="1066"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оплата услуг по защите электронного документооборота (поддержке программного продукта) с использованием сертификационных средств криптографической защиты информации, необходимых при осуществлении деятельности по оказанию медицинской помощи при заболеваниях (состояниях), включенных в базовую программу ОМС;</w:t>
      </w:r>
    </w:p>
    <w:p>
      <w:pPr>
        <w:pStyle w:val="Style4"/>
        <w:keepNext w:val="0"/>
        <w:keepLines w:val="0"/>
        <w:widowControl w:val="0"/>
        <w:numPr>
          <w:ilvl w:val="0"/>
          <w:numId w:val="41"/>
        </w:numPr>
        <w:shd w:val="clear" w:color="auto" w:fill="auto"/>
        <w:tabs>
          <w:tab w:pos="1066"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приобретение неисключительных прав пользования на результаты интеллектуальной деятельности, применяемые при оказании медицинской помощи при заболеваниях (состояниях), включенных в базовую программу ОМС (прав пользования на результаты интеллектуальной деятельности в соответствии с лицензионными договорами либо иными документами, подтверждающими существование права пользования на результаты интеллектуальной деятельности), в том числе с последующей передачей в другую медицинскую организацию, подведомственную Министерству здравоохранения Омской области и участвующую в реализации территориальной программы ОМС, в порядке, установленном законодательством.</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Размер остатков средств на указанные направления расходования и порядок их использования определяются учредителем медицинской организации.</w:t>
      </w:r>
    </w:p>
    <w:p>
      <w:pPr>
        <w:pStyle w:val="Style4"/>
        <w:keepNext w:val="0"/>
        <w:keepLines w:val="0"/>
        <w:widowControl w:val="0"/>
        <w:shd w:val="clear" w:color="auto" w:fill="auto"/>
        <w:bidi w:val="0"/>
        <w:spacing w:before="0" w:after="0" w:line="240" w:lineRule="auto"/>
        <w:ind w:left="0" w:right="0" w:firstLine="700"/>
        <w:jc w:val="both"/>
        <w:sectPr>
          <w:headerReference w:type="default" r:id="rId9"/>
          <w:footnotePr>
            <w:pos w:val="pageBottom"/>
            <w:numFmt w:val="decimal"/>
            <w:numRestart w:val="continuous"/>
          </w:footnotePr>
          <w:pgSz w:w="11900" w:h="16840"/>
          <w:pgMar w:top="1124" w:right="684" w:bottom="1196" w:left="1529" w:header="0" w:footer="768" w:gutter="0"/>
          <w:pgNumType w:start="2"/>
          <w:cols w:space="720"/>
          <w:noEndnote/>
          <w:rtlGutter w:val="0"/>
          <w:docGrid w:linePitch="360"/>
        </w:sectPr>
      </w:pPr>
      <w:r>
        <w:rPr>
          <w:color w:val="000000"/>
          <w:spacing w:val="0"/>
          <w:w w:val="100"/>
          <w:position w:val="0"/>
          <w:shd w:val="clear" w:color="auto" w:fill="auto"/>
          <w:lang w:val="ru-RU" w:eastAsia="ru-RU" w:bidi="ru-RU"/>
        </w:rPr>
        <w:t>Остатки средств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w:t>
        <w:softHyphen/>
        <w:t>анатомических и иных видов диагностических исследований, утвержденными Министерством здравоохранения Российской Федерации, для оказания медицинской помощи в рамках программ ОМС).</w:t>
      </w:r>
    </w:p>
    <w:p>
      <w:pPr>
        <w:pStyle w:val="Style4"/>
        <w:keepNext w:val="0"/>
        <w:keepLines w:val="0"/>
        <w:widowControl w:val="0"/>
        <w:shd w:val="clear" w:color="auto" w:fill="auto"/>
        <w:bidi w:val="0"/>
        <w:spacing w:before="0" w:after="260" w:line="276" w:lineRule="auto"/>
        <w:ind w:left="0" w:right="0" w:firstLine="0"/>
        <w:jc w:val="center"/>
      </w:pPr>
      <w:r>
        <w:rPr>
          <w:color w:val="000000"/>
          <w:spacing w:val="0"/>
          <w:w w:val="100"/>
          <w:position w:val="0"/>
          <w:shd w:val="clear" w:color="auto" w:fill="auto"/>
          <w:lang w:val="ru-RU" w:eastAsia="ru-RU" w:bidi="ru-RU"/>
        </w:rPr>
        <w:t>27</w:t>
        <w:br/>
        <w:t>Профилактические медицинские осмотры</w:t>
        <w:br/>
        <w:t>и диспансеризация граждан</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34. В рамках проведения профилактических мероприятий Министерство здравоохранения Омской области обеспечивает организацию прохождения гражданами профилактических медицинских осмотров и диспансеризации, в том числе в вечерние часы в будние дни и в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взрослого населения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Граждане, переболевшие новой коронавирусной инфекцией (СОУШ-19), включая случаи заболеваний, когда отсутствует подтверждение перенесенной новой коронавирусной инфекции (СОУГО-19)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который приведен в приложении № 3 к Программе.</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ОМС Омской области. Территориальный фонд ОМС Омской области доводит указанные перечни до страховых медицинских организаций, в которых застрахованы граждане, подлежащие углубленной диспансеризации.</w:t>
      </w:r>
    </w:p>
    <w:p>
      <w:pPr>
        <w:pStyle w:val="Style4"/>
        <w:keepNext w:val="0"/>
        <w:keepLines w:val="0"/>
        <w:widowControl w:val="0"/>
        <w:shd w:val="clear" w:color="auto" w:fill="auto"/>
        <w:bidi w:val="0"/>
        <w:spacing w:before="0" w:after="0" w:line="240" w:lineRule="auto"/>
        <w:ind w:left="0" w:right="0" w:firstLine="700"/>
        <w:jc w:val="both"/>
        <w:sectPr>
          <w:headerReference w:type="default" r:id="rId10"/>
          <w:footnotePr>
            <w:pos w:val="pageBottom"/>
            <w:numFmt w:val="decimal"/>
            <w:numRestart w:val="continuous"/>
          </w:footnotePr>
          <w:pgSz w:w="11900" w:h="16840"/>
          <w:pgMar w:top="711" w:right="687" w:bottom="711" w:left="1532" w:header="283" w:footer="283" w:gutter="0"/>
          <w:pgNumType w:start="28"/>
          <w:cols w:space="720"/>
          <w:noEndnote/>
          <w:rtlGutter w:val="0"/>
          <w:docGrid w:linePitch="360"/>
        </w:sectPr>
      </w:pPr>
      <w:r>
        <w:rPr>
          <w:color w:val="000000"/>
          <w:spacing w:val="0"/>
          <w:w w:val="100"/>
          <w:position w:val="0"/>
          <w:shd w:val="clear" w:color="auto" w:fill="auto"/>
          <w:lang w:val="ru-RU" w:eastAsia="ru-RU" w:bidi="ru-RU"/>
        </w:rP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сети радиотелефонной связи (смс-сообщения) и иных</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доступных средств связи.</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Запись граждан на углубленную диспансеризацию осуществляется в том числе с использованием Единого портала.</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пунктом 1 приложения № 3 к Программе.</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В случае выявления по результатам углубленной диспансеризации хронических неинфекционных заболеваний, в том числе связанных с перенесенной новой коронавирусной инфекцией (СОУШ-19), гражданин в течение 3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предоставляются лекарственные препараты в соответствии с законодательством Российской Федерации.</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Для женщин и мужчин репродуктивного возраста поэтапно, в зависимости от возрастных групп, в том числе одновременно с прохождением профилактического осмотра или диспансеризации, организуется проведение диспансеризации, направленной на оценку их репродуктивного здоровья (далее - диспансеризация для оценки репродуктивного здоровья женщин и мужчин), включающей исследования и иные медицинские вмешательства по перечню согласно соответствующему приложению к федеральной программе.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осуществляются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данная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 xml:space="preserve">Министерство здравоохранения Омской области размещает на своем официальном сайте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w:t>
      </w:r>
      <w:r>
        <w:rPr>
          <w:color w:val="000000"/>
          <w:spacing w:val="0"/>
          <w:w w:val="100"/>
          <w:position w:val="0"/>
          <w:shd w:val="clear" w:color="auto" w:fill="auto"/>
          <w:lang w:val="ru-RU" w:eastAsia="ru-RU" w:bidi="ru-RU"/>
        </w:rPr>
        <w:t>перечень медицинских организаций, осуществляющих углубленную диспансеризацию и диспансеризацию для оценки репродуктивного здоровья женщин и мужчин, а также порядок их работы.</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территориальный фонд ОМС Омской области. Страховые медицинские организации также осуществляют мониторинг посещения гражданами указанных осмотров с передачей его результатов территориальному фонду ОМС Омской области.</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самообслуживанию, в нуждаемости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Оплата диспансеризации, указанной в абзаце четырнадцатом настоящего пункта,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соответствующего пола и возраста, а также второго этапа (при наличии показаний) по тарифам на оплату медицинской помощи по ОМС, устанавливаемым в соответствии с соответствующим приложением к федеральной программе, в пределах объемов медицинской помощи, установленных в территориальной программе ОМС.</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Федеральный фонд ОМС и территориальный фонд ОМС Омской области ведут учет случаев проведения диспансеризации в стационарных условиях и их результатов.</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на Едином портале (далее - личный кабинет) и вносит данную информацию в медицинскую документацию гражданина.</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pPr>
        <w:pStyle w:val="Style4"/>
        <w:keepNext w:val="0"/>
        <w:keepLines w:val="0"/>
        <w:widowControl w:val="0"/>
        <w:numPr>
          <w:ilvl w:val="0"/>
          <w:numId w:val="43"/>
        </w:numPr>
        <w:shd w:val="clear" w:color="auto" w:fill="auto"/>
        <w:tabs>
          <w:tab w:pos="107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гражданину, у которого есть личный кабинет, направляется в личный кабинет (очное посещение медицинской организации для получения результатов диспансеризации не требуется);</w:t>
      </w:r>
    </w:p>
    <w:p>
      <w:pPr>
        <w:pStyle w:val="Style4"/>
        <w:keepNext w:val="0"/>
        <w:keepLines w:val="0"/>
        <w:widowControl w:val="0"/>
        <w:numPr>
          <w:ilvl w:val="0"/>
          <w:numId w:val="43"/>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гражданину, у которого нет личного кабинета, передается медицинским работником, ответственным за проведение профилактического осмотра или диспансеризации, в ходе очного приема.</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Гражданину о направлении результатов диспансеризации в личный кабинет сообщается его страховой медицинской организацией посредством смс-сообщения или иным способом доведения информации, получившей данную информацию от медицинской организации, в которой гражданин проходил профилактический осмотр или диспансеризацию.</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Территориальный фонд ОМС Омской области осуществляет мониторинг хода информирования страховыми медицинскими организациями застрахованных лиц, проживающих в месте выезда, а также осуществляет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и о результатах проведенных мероприятий и передают агрегированные сведения Федеральному фонду ОМС в порядке, установленном законодательством Российской Федерации.</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pPr>
        <w:pStyle w:val="Style4"/>
        <w:keepNext w:val="0"/>
        <w:keepLines w:val="0"/>
        <w:widowControl w:val="0"/>
        <w:shd w:val="clear" w:color="auto" w:fill="auto"/>
        <w:bidi w:val="0"/>
        <w:spacing w:before="0" w:after="320" w:line="240" w:lineRule="auto"/>
        <w:ind w:left="0" w:right="0" w:firstLine="700"/>
        <w:jc w:val="both"/>
      </w:pPr>
      <w:r>
        <w:rPr>
          <w:color w:val="000000"/>
          <w:spacing w:val="0"/>
          <w:w w:val="100"/>
          <w:position w:val="0"/>
          <w:shd w:val="clear" w:color="auto" w:fill="auto"/>
          <w:lang w:val="ru-RU" w:eastAsia="ru-RU" w:bidi="ru-RU"/>
        </w:rP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pPr>
        <w:pStyle w:val="Style4"/>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ru-RU" w:eastAsia="ru-RU" w:bidi="ru-RU"/>
        </w:rPr>
        <w:t>Диспансерное наблюдение за гражданами</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35.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Диспансерное наблюдение проводится в порядке, утвержденном Министерством здравоохранения Российской Федерации.</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территориальному фонду ОМС Омской области, а также Министерству здравоохранения Омской области для проведения анализа и принятия управленческих решений.</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Медицинские организации с использованием Единого портала,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pPr>
        <w:pStyle w:val="Style4"/>
        <w:keepNext w:val="0"/>
        <w:keepLines w:val="0"/>
        <w:widowControl w:val="0"/>
        <w:shd w:val="clear" w:color="auto" w:fill="auto"/>
        <w:bidi w:val="0"/>
        <w:spacing w:before="0" w:after="320" w:line="240" w:lineRule="auto"/>
        <w:ind w:left="0" w:right="0" w:firstLine="700"/>
        <w:jc w:val="both"/>
      </w:pPr>
      <w:r>
        <w:rPr>
          <w:color w:val="000000"/>
          <w:spacing w:val="0"/>
          <w:w w:val="100"/>
          <w:position w:val="0"/>
          <w:shd w:val="clear" w:color="auto" w:fill="auto"/>
          <w:lang w:val="ru-RU" w:eastAsia="ru-RU" w:bidi="ru-RU"/>
        </w:rPr>
        <w:t>В отношении работающих застрахованных лиц по месту осуществления</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Организация диспансерного наблюдения работающих граждан может осуществляться:</w:t>
      </w:r>
    </w:p>
    <w:p>
      <w:pPr>
        <w:pStyle w:val="Style4"/>
        <w:keepNext w:val="0"/>
        <w:keepLines w:val="0"/>
        <w:widowControl w:val="0"/>
        <w:numPr>
          <w:ilvl w:val="0"/>
          <w:numId w:val="45"/>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pPr>
        <w:pStyle w:val="Style4"/>
        <w:keepNext w:val="0"/>
        <w:keepLines w:val="0"/>
        <w:widowControl w:val="0"/>
        <w:numPr>
          <w:ilvl w:val="0"/>
          <w:numId w:val="45"/>
        </w:numPr>
        <w:shd w:val="clear" w:color="auto" w:fill="auto"/>
        <w:tabs>
          <w:tab w:pos="107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при отсутствии у работодателя указанного подразделения путем заключения работодателем договора с государственной медицинской организацией любой подведомственности, участвующей в территориальной программе ОМС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ОМС Омской области в целях последующей оплаты оказанных комплексных посещений по диспансеризации работающих граждан в рамках отдельных реестров счетов.</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Если медицинская организация, осуществляющая диспансерное наблюдение работающего гражданина в соответствии с настоящим пунктом, не является медицинской организацией, к которой прикреплен работающий гражданин, то данная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В этом случае территориальный фонд ОМС Омской области осуществляет контроль за правильностью учета проведенного диспансерного наблюдения работающих граждан в целях исключения дублирования данного наблюдения.</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Порядок проведения диспансерного наблюдения работающих граждан и порядок обмена информацией о результатах такого диспансерного </w:t>
      </w:r>
      <w:r>
        <w:rPr>
          <w:color w:val="000000"/>
          <w:spacing w:val="0"/>
          <w:w w:val="100"/>
          <w:position w:val="0"/>
          <w:shd w:val="clear" w:color="auto" w:fill="auto"/>
          <w:lang w:val="ru-RU" w:eastAsia="ru-RU" w:bidi="ru-RU"/>
        </w:rPr>
        <w:t>наблюдения между медицинскими организациями устанавливаются Министерством здравоохранения Российской Федерации.</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Территориальный фонд ОМС Омской области ведет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Федеральному фонду ОМС.</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В соответствии с порядком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Омской области, и (или) медицинских информационных систем, и (или) иных информационных систем. В рамках территориальной программы ОМС осуществляется дистанционное наблюдение за состоянием здоровья пациентов с артериальной гипертензией и пациентов с сахарным диабетом.</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Средние нормативы финансовых затрат на единицу объема медицинской помощи за счет средств ОМС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связанных с оплатой дистанционного наблюдения одному пациенту в течение всего календарного года с учетом частоты и кратности проведения дистанционного наблюдения.</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За счет бюджетных ассигнований областного бюджета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территориальной программы ОМС, а также расходов, связанных с использованием систем поддержки принятия врачебных решений. Медицинские изделия, необходимые для проведения дистанционного наблюдения в рамках территориальной программы ОМС, могут быть также приобретены за счет личных средств граждан.</w:t>
      </w:r>
    </w:p>
    <w:p>
      <w:pPr>
        <w:pStyle w:val="Style4"/>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ru-RU" w:eastAsia="ru-RU" w:bidi="ru-RU"/>
        </w:rPr>
        <w:t>Оказания медицинской помощи с применением</w:t>
        <w:br/>
        <w:t>телемедицинских технологий</w:t>
      </w:r>
    </w:p>
    <w:p>
      <w:pPr>
        <w:pStyle w:val="Style4"/>
        <w:keepNext w:val="0"/>
        <w:keepLines w:val="0"/>
        <w:widowControl w:val="0"/>
        <w:numPr>
          <w:ilvl w:val="0"/>
          <w:numId w:val="47"/>
        </w:numPr>
        <w:shd w:val="clear" w:color="auto" w:fill="auto"/>
        <w:tabs>
          <w:tab w:pos="118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а также жителям отдаленных и малонаселенных районов.</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Консультации с применением телемедицинских технологий проводятся в порядке, утвержденном Министерством здравоохранения Российской Федерации.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При оказании медицинской помощи с применением телемедицинских технологий в рамках Программы выбор консультирующей медицинской организации и врача-консультанта осуществляется в соответствии со статьей 21 Федерального закона «Об основах охраны здоровья граждан в Российской Федерации».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При оказании медицинской помощи с применением телемедицинских технологий консультации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консультаций.</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По медицинским показаниям и в соответствии с клиническими рекомендациями медицинские работники медицинских организаций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 в том числе в форме электронного документа.</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в территориальный фонд ОМС Омской области, а также Министерству здравоохранения Омской области для проведения анализа и принятия управленческих решений.</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Для медицинских организаций, подведомственных Министерству здравоохранения Омской области, устанавливается отдельный тариф на оплату медицинской помощи с применением телемедицинских технологий при дистанционном взаимодействии медицинских работников между собой в целях проведения межучрежденческих расчетов, в том числе для референс-центров.</w:t>
      </w:r>
    </w:p>
    <w:p>
      <w:pPr>
        <w:pStyle w:val="Style4"/>
        <w:keepNext w:val="0"/>
        <w:keepLines w:val="0"/>
        <w:widowControl w:val="0"/>
        <w:shd w:val="clear" w:color="auto" w:fill="auto"/>
        <w:bidi w:val="0"/>
        <w:spacing w:before="0" w:after="300" w:line="240" w:lineRule="auto"/>
        <w:ind w:left="0" w:right="0" w:firstLine="720"/>
        <w:jc w:val="both"/>
      </w:pPr>
      <w:r>
        <w:rPr>
          <w:color w:val="000000"/>
          <w:spacing w:val="0"/>
          <w:w w:val="100"/>
          <w:position w:val="0"/>
          <w:shd w:val="clear" w:color="auto" w:fill="auto"/>
          <w:lang w:val="ru-RU" w:eastAsia="ru-RU" w:bidi="ru-RU"/>
        </w:rPr>
        <w:t xml:space="preserve">Оплату за проведение консультаций (консилиумов врачей) </w:t>
      </w:r>
      <w:r>
        <w:rPr>
          <w:color w:val="000000"/>
          <w:spacing w:val="0"/>
          <w:w w:val="100"/>
          <w:position w:val="0"/>
          <w:shd w:val="clear" w:color="auto" w:fill="auto"/>
          <w:lang w:val="ru-RU" w:eastAsia="ru-RU" w:bidi="ru-RU"/>
        </w:rPr>
        <w:t>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телемедицинскую консультацию.</w:t>
      </w:r>
    </w:p>
    <w:p>
      <w:pPr>
        <w:pStyle w:val="Style4"/>
        <w:keepNext w:val="0"/>
        <w:keepLines w:val="0"/>
        <w:widowControl w:val="0"/>
        <w:shd w:val="clear" w:color="auto" w:fill="auto"/>
        <w:bidi w:val="0"/>
        <w:spacing w:before="0" w:after="300" w:line="240" w:lineRule="auto"/>
        <w:ind w:left="0" w:right="0" w:firstLine="0"/>
        <w:jc w:val="center"/>
      </w:pPr>
      <w:r>
        <w:rPr>
          <w:color w:val="000000"/>
          <w:spacing w:val="0"/>
          <w:w w:val="100"/>
          <w:position w:val="0"/>
          <w:shd w:val="clear" w:color="auto" w:fill="auto"/>
          <w:lang w:val="ru-RU" w:eastAsia="ru-RU" w:bidi="ru-RU"/>
        </w:rPr>
        <w:t>Способы оплаты медицинской помощи, оказываемой</w:t>
        <w:br/>
        <w:t>застрахованным лицам по ОМС</w:t>
      </w:r>
    </w:p>
    <w:p>
      <w:pPr>
        <w:pStyle w:val="Style4"/>
        <w:keepNext w:val="0"/>
        <w:keepLines w:val="0"/>
        <w:widowControl w:val="0"/>
        <w:numPr>
          <w:ilvl w:val="0"/>
          <w:numId w:val="47"/>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При реализации территориальной программы ОМС применяются следующие способы оплаты медицинской помощи, оказываемой застрахованным лицам по ОМС:</w:t>
      </w:r>
    </w:p>
    <w:p>
      <w:pPr>
        <w:pStyle w:val="Style4"/>
        <w:keepNext w:val="0"/>
        <w:keepLines w:val="0"/>
        <w:widowControl w:val="0"/>
        <w:numPr>
          <w:ilvl w:val="0"/>
          <w:numId w:val="49"/>
        </w:numPr>
        <w:shd w:val="clear" w:color="auto" w:fill="auto"/>
        <w:tabs>
          <w:tab w:pos="1078"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при оплате медицинской помощи, оказанной в амбулаторных условиях:</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 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w:t>
        <w:softHyphen/>
        <w:t xml:space="preserve">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w:t>
      </w:r>
      <w:r>
        <w:rPr>
          <w:i/>
          <w:iCs/>
          <w:color w:val="000000"/>
          <w:spacing w:val="0"/>
          <w:w w:val="100"/>
          <w:position w:val="0"/>
          <w:shd w:val="clear" w:color="auto" w:fill="auto"/>
          <w:lang w:val="ru-RU" w:eastAsia="ru-RU" w:bidi="ru-RU"/>
        </w:rPr>
        <w:t>с</w:t>
      </w:r>
      <w:r>
        <w:rPr>
          <w:color w:val="000000"/>
          <w:spacing w:val="0"/>
          <w:w w:val="100"/>
          <w:position w:val="0"/>
          <w:shd w:val="clear" w:color="auto" w:fill="auto"/>
          <w:lang w:val="ru-RU" w:eastAsia="ru-RU" w:bidi="ru-RU"/>
        </w:rPr>
        <w:t xml:space="preserve"> целью диагностики онкологических заболеваний и подбора противоопухолевой лекарственной терапии,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неинвазивного пренатального тестирования (определения внеклеточной ДНК плода по крови матери), определение РНК вируса гепатита С (Нераййз С </w:t>
      </w:r>
      <w:r>
        <w:rPr>
          <w:smallCaps/>
          <w:color w:val="000000"/>
          <w:spacing w:val="0"/>
          <w:w w:val="100"/>
          <w:position w:val="0"/>
          <w:shd w:val="clear" w:color="auto" w:fill="auto"/>
          <w:lang w:val="ru-RU" w:eastAsia="ru-RU" w:bidi="ru-RU"/>
        </w:rPr>
        <w:t xml:space="preserve">уплз) </w:t>
      </w:r>
      <w:r>
        <w:rPr>
          <w:color w:val="000000"/>
          <w:spacing w:val="0"/>
          <w:w w:val="100"/>
          <w:position w:val="0"/>
          <w:shd w:val="clear" w:color="auto" w:fill="auto"/>
          <w:lang w:val="ru-RU" w:eastAsia="ru-RU" w:bidi="ru-RU"/>
        </w:rPr>
        <w:t xml:space="preserve">в крови методом ПЦР, лабораторную диагностику для пациентов с хроническим вирусным гепатитом С (оценку стадии фиброза, определение генотипа ВГС),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включая диспансерное наблюдение, дистанционного наблюдения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w:t>
      </w:r>
      <w:r>
        <w:rPr>
          <w:color w:val="000000"/>
          <w:spacing w:val="0"/>
          <w:w w:val="100"/>
          <w:position w:val="0"/>
          <w:shd w:val="clear" w:color="auto" w:fill="auto"/>
          <w:lang w:val="ru-RU" w:eastAsia="ru-RU" w:bidi="ru-RU"/>
        </w:rPr>
        <w:t>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 за единицу объема медицинской помощи - за медицинскую услугу, посещение, обращение (законченный случай) при оплате:</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медицинской помощи, оказанной застрахованным лицам за пределами субъекта Российской Федерации, на территории которого выдан полис ОМС;</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медицинской помощи, оказанной в медицинских организациях, не имеющих прикрепившихся лиц;</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неинвазивного пренатального тестирования (определения внеклеточной ДНК плода по крови матери), определения РНК вируса гепатита С (Нераййз С У1ги8) в крови методом ПЦР, лабораторной диагностики для пациентов с хроническим вирусным гепатитом С (оценки стадии фиброза, определения генотипа ВГС);</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посещений с профилактическими целями центров здоровья, включая диспансерное наблюдение;</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дистанционного наблюдения за состоянием здоровья пациентов с артериальной гипертензией и сахарным диабетом;</w:t>
      </w:r>
    </w:p>
    <w:p>
      <w:pPr>
        <w:pStyle w:val="Style4"/>
        <w:keepNext w:val="0"/>
        <w:keepLines w:val="0"/>
        <w:widowControl w:val="0"/>
        <w:shd w:val="clear" w:color="auto" w:fill="auto"/>
        <w:bidi w:val="0"/>
        <w:spacing w:before="0" w:after="0" w:line="240" w:lineRule="auto"/>
        <w:ind w:left="0" w:right="0" w:firstLine="700"/>
        <w:jc w:val="both"/>
        <w:sectPr>
          <w:headerReference w:type="default" r:id="rId11"/>
          <w:footnotePr>
            <w:pos w:val="pageBottom"/>
            <w:numFmt w:val="decimal"/>
            <w:numRestart w:val="continuous"/>
          </w:footnotePr>
          <w:pgSz w:w="11900" w:h="16840"/>
          <w:pgMar w:top="1124" w:right="684" w:bottom="1196" w:left="1530" w:header="0" w:footer="768" w:gutter="0"/>
          <w:pgNumType w:start="28"/>
          <w:cols w:space="720"/>
          <w:noEndnote/>
          <w:rtlGutter w:val="0"/>
          <w:docGrid w:linePitch="360"/>
        </w:sectPr>
      </w:pPr>
      <w:r>
        <w:rPr>
          <w:color w:val="000000"/>
          <w:spacing w:val="0"/>
          <w:w w:val="100"/>
          <w:position w:val="0"/>
          <w:shd w:val="clear" w:color="auto" w:fill="auto"/>
          <w:lang w:val="ru-RU" w:eastAsia="ru-RU" w:bidi="ru-RU"/>
        </w:rPr>
        <w:t xml:space="preserve">медицинской помощи с применением телемедицинских технологий при </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сахарного диабета, и школ для беременных и по вопросам грудного вскармливания;</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медицинской помощи по медицинской реабилитации (комплексное посещение);</w:t>
      </w:r>
    </w:p>
    <w:p>
      <w:pPr>
        <w:pStyle w:val="Style4"/>
        <w:keepNext w:val="0"/>
        <w:keepLines w:val="0"/>
        <w:widowControl w:val="0"/>
        <w:numPr>
          <w:ilvl w:val="0"/>
          <w:numId w:val="49"/>
        </w:numPr>
        <w:shd w:val="clear" w:color="auto" w:fill="auto"/>
        <w:tabs>
          <w:tab w:pos="107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при оплате медицинской помощи, оказанной в стационарных условиях (далее в настоящем пункте - госпитализация), в том числе для медицинской реабилитации в специализированных медицинских организациях (структурных подразделениях):</w:t>
      </w:r>
    </w:p>
    <w:p>
      <w:pPr>
        <w:pStyle w:val="Style4"/>
        <w:keepNext w:val="0"/>
        <w:keepLines w:val="0"/>
        <w:widowControl w:val="0"/>
        <w:numPr>
          <w:ilvl w:val="0"/>
          <w:numId w:val="51"/>
        </w:numPr>
        <w:shd w:val="clear" w:color="auto" w:fill="auto"/>
        <w:tabs>
          <w:tab w:pos="92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pPr>
        <w:pStyle w:val="Style4"/>
        <w:keepNext w:val="0"/>
        <w:keepLines w:val="0"/>
        <w:widowControl w:val="0"/>
        <w:numPr>
          <w:ilvl w:val="0"/>
          <w:numId w:val="51"/>
        </w:numPr>
        <w:shd w:val="clear" w:color="auto" w:fill="auto"/>
        <w:tabs>
          <w:tab w:pos="93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соответствующем приложении к федеральной программе, в том числе в сочетании с оплатой за услугу диализа;</w:t>
      </w:r>
    </w:p>
    <w:p>
      <w:pPr>
        <w:pStyle w:val="Style4"/>
        <w:keepNext w:val="0"/>
        <w:keepLines w:val="0"/>
        <w:widowControl w:val="0"/>
        <w:numPr>
          <w:ilvl w:val="0"/>
          <w:numId w:val="49"/>
        </w:numPr>
        <w:shd w:val="clear" w:color="auto" w:fill="auto"/>
        <w:tabs>
          <w:tab w:pos="106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при оплате медицинской помощи, оказанной в условиях дневного стационара:</w:t>
      </w:r>
    </w:p>
    <w:p>
      <w:pPr>
        <w:pStyle w:val="Style4"/>
        <w:keepNext w:val="0"/>
        <w:keepLines w:val="0"/>
        <w:widowControl w:val="0"/>
        <w:numPr>
          <w:ilvl w:val="0"/>
          <w:numId w:val="53"/>
        </w:numPr>
        <w:shd w:val="clear" w:color="auto" w:fill="auto"/>
        <w:tabs>
          <w:tab w:pos="92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w:t>
        <w:softHyphen/>
        <w:t>статистической группе заболеваний, группе высокотехнологичной медицинской помощи);</w:t>
      </w:r>
    </w:p>
    <w:p>
      <w:pPr>
        <w:pStyle w:val="Style4"/>
        <w:keepNext w:val="0"/>
        <w:keepLines w:val="0"/>
        <w:widowControl w:val="0"/>
        <w:numPr>
          <w:ilvl w:val="0"/>
          <w:numId w:val="53"/>
        </w:numPr>
        <w:shd w:val="clear" w:color="auto" w:fill="auto"/>
        <w:tabs>
          <w:tab w:pos="93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соответствующем приложении к федеральной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pPr>
        <w:pStyle w:val="Style4"/>
        <w:keepNext w:val="0"/>
        <w:keepLines w:val="0"/>
        <w:widowControl w:val="0"/>
        <w:numPr>
          <w:ilvl w:val="0"/>
          <w:numId w:val="49"/>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pPr>
        <w:pStyle w:val="Style4"/>
        <w:keepNext w:val="0"/>
        <w:keepLines w:val="0"/>
        <w:widowControl w:val="0"/>
        <w:numPr>
          <w:ilvl w:val="0"/>
          <w:numId w:val="55"/>
        </w:numPr>
        <w:shd w:val="clear" w:color="auto" w:fill="auto"/>
        <w:tabs>
          <w:tab w:pos="93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по подушевому нормативу финансирования;</w:t>
      </w:r>
    </w:p>
    <w:p>
      <w:pPr>
        <w:pStyle w:val="Style4"/>
        <w:keepNext w:val="0"/>
        <w:keepLines w:val="0"/>
        <w:widowControl w:val="0"/>
        <w:numPr>
          <w:ilvl w:val="0"/>
          <w:numId w:val="55"/>
        </w:numPr>
        <w:shd w:val="clear" w:color="auto" w:fill="auto"/>
        <w:tabs>
          <w:tab w:pos="92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ОМС, а также оказанной в отдельных медицинских организациях, не имеющих прикрепившихся лиц).</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законом «Об основах охраны здоровья граждан в Российской Федерации», осуществляется за единицу объема медицинской помощи (комплексное посещение).</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w:t>
      </w:r>
      <w:r>
        <w:rPr>
          <w:color w:val="000000"/>
          <w:spacing w:val="0"/>
          <w:w w:val="100"/>
          <w:position w:val="0"/>
          <w:shd w:val="clear" w:color="auto" w:fill="auto"/>
          <w:lang w:val="ru-RU" w:eastAsia="ru-RU" w:bidi="ru-RU"/>
        </w:rPr>
        <w:t>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w:t>
        <w:softHyphen/>
        <w:t xml:space="preserve">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неинвазивного пренатального тестирования (определения внеклеточной ДНК плода по крови матери), определение РНК вируса гепатита С (Нераййз С </w:t>
      </w:r>
      <w:r>
        <w:rPr>
          <w:smallCaps/>
          <w:color w:val="000000"/>
          <w:spacing w:val="0"/>
          <w:w w:val="100"/>
          <w:position w:val="0"/>
          <w:shd w:val="clear" w:color="auto" w:fill="auto"/>
          <w:lang w:val="ru-RU" w:eastAsia="ru-RU" w:bidi="ru-RU"/>
        </w:rPr>
        <w:t xml:space="preserve">ухглз) </w:t>
      </w:r>
      <w:r>
        <w:rPr>
          <w:color w:val="000000"/>
          <w:spacing w:val="0"/>
          <w:w w:val="100"/>
          <w:position w:val="0"/>
          <w:shd w:val="clear" w:color="auto" w:fill="auto"/>
          <w:lang w:val="ru-RU" w:eastAsia="ru-RU" w:bidi="ru-RU"/>
        </w:rPr>
        <w:t xml:space="preserve">в крови методом ПЦР, лабораторную диагностику для пациентов с хроническим вирусным гепатитом С (оценку стадии фиброза, определение генотипа ВГС), ведение школ для больных </w:t>
      </w:r>
      <w:r>
        <w:rPr>
          <w:i/>
          <w:iCs/>
          <w:color w:val="000000"/>
          <w:spacing w:val="0"/>
          <w:w w:val="100"/>
          <w:position w:val="0"/>
          <w:shd w:val="clear" w:color="auto" w:fill="auto"/>
          <w:lang w:val="ru-RU" w:eastAsia="ru-RU" w:bidi="ru-RU"/>
        </w:rPr>
        <w:t>с</w:t>
      </w:r>
      <w:r>
        <w:rPr>
          <w:color w:val="000000"/>
          <w:spacing w:val="0"/>
          <w:w w:val="100"/>
          <w:position w:val="0"/>
          <w:shd w:val="clear" w:color="auto" w:fill="auto"/>
          <w:lang w:val="ru-RU" w:eastAsia="ru-RU" w:bidi="ru-RU"/>
        </w:rPr>
        <w:t xml:space="preserve"> хроническими неинфекционными заболеваниями, в том числе для больных сахарным диабетом, и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расходы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фельдшерско-акушерских пунктов (фельдшерских пунктов, фельдшерских здравпунктов).</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 xml:space="preserve">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а также жителей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ветерана боевых действий, его (ее) супруги (супруга), а также супруги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и (или) состоянием, включенным в базовую программу ОМС. Также возможно установление отдельных тарифов на оплату медицинской </w:t>
      </w:r>
      <w:r>
        <w:rPr>
          <w:color w:val="000000"/>
          <w:spacing w:val="0"/>
          <w:w w:val="100"/>
          <w:position w:val="0"/>
          <w:shd w:val="clear" w:color="auto" w:fill="auto"/>
          <w:lang w:val="ru-RU" w:eastAsia="ru-RU" w:bidi="ru-RU"/>
        </w:rPr>
        <w:t>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Медицинская помощь может оказываться на дому с предоставлением врачом медицинской организации, к которой прикреплен гражданин, средним медицинским работником фельдшерско-акушерских пунктов (фельдшерских пунктов, фельдшерских здравпунктов) соответствующих лекарственных препаратов и рекомендаций по их применению. Выполнение указанных рекомендаций осуществляется средними медицинскими работниками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С для приема пациентами на дому. В этом случае прием врача может проводиться </w:t>
      </w:r>
      <w:r>
        <w:rPr>
          <w:i/>
          <w:iCs/>
          <w:color w:val="000000"/>
          <w:spacing w:val="0"/>
          <w:w w:val="100"/>
          <w:position w:val="0"/>
          <w:shd w:val="clear" w:color="auto" w:fill="auto"/>
          <w:lang w:val="ru-RU" w:eastAsia="ru-RU" w:bidi="ru-RU"/>
        </w:rPr>
        <w:t>с</w:t>
      </w:r>
      <w:r>
        <w:rPr>
          <w:color w:val="000000"/>
          <w:spacing w:val="0"/>
          <w:w w:val="100"/>
          <w:position w:val="0"/>
          <w:shd w:val="clear" w:color="auto" w:fill="auto"/>
          <w:lang w:val="ru-RU" w:eastAsia="ru-RU" w:bidi="ru-RU"/>
        </w:rPr>
        <w:t xml:space="preserve"> использованием дистанционных (телемедицинских) технологий, результаты лечения должны быть подтверждены лабораторными исследованиями. Очное пребывание пациента в условиях дневного стационара при этом должно быть не менее 2 дней, включая день госпитализации и день выписки.</w:t>
      </w:r>
    </w:p>
    <w:p>
      <w:pPr>
        <w:pStyle w:val="Style4"/>
        <w:keepNext w:val="0"/>
        <w:keepLines w:val="0"/>
        <w:widowControl w:val="0"/>
        <w:numPr>
          <w:ilvl w:val="0"/>
          <w:numId w:val="57"/>
        </w:numPr>
        <w:shd w:val="clear" w:color="auto" w:fill="auto"/>
        <w:tabs>
          <w:tab w:pos="118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неинвазивного пренатального тестирования (определения внеклеточной ДНК плода по крови матери), определения РНК вируса гепатита С (Нераййз С </w:t>
      </w:r>
      <w:r>
        <w:rPr>
          <w:smallCaps/>
          <w:color w:val="000000"/>
          <w:spacing w:val="0"/>
          <w:w w:val="100"/>
          <w:position w:val="0"/>
          <w:shd w:val="clear" w:color="auto" w:fill="auto"/>
          <w:lang w:val="ru-RU" w:eastAsia="ru-RU" w:bidi="ru-RU"/>
        </w:rPr>
        <w:t>унпз)</w:t>
      </w:r>
      <w:r>
        <w:rPr>
          <w:color w:val="000000"/>
          <w:spacing w:val="0"/>
          <w:w w:val="100"/>
          <w:position w:val="0"/>
          <w:shd w:val="clear" w:color="auto" w:fill="auto"/>
          <w:lang w:val="ru-RU" w:eastAsia="ru-RU" w:bidi="ru-RU"/>
        </w:rPr>
        <w:t xml:space="preserve"> в крови методом ПЦР, лабораторной диагностики для пациентов с хроническим вирусным гепатитом С (оценки стадии фиброза, определения генотипа ВГС)) между медицинскими организациями, оказывающими медицинскую помощь в амбулаторных условиях, осуществляется при наличии в имеющейся у медицинской организации лицензии на медицинскую деятельность указания на соответствующие работы (услуги).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w:t>
      </w:r>
      <w:r>
        <w:rPr>
          <w:color w:val="000000"/>
          <w:spacing w:val="0"/>
          <w:w w:val="100"/>
          <w:position w:val="0"/>
          <w:shd w:val="clear" w:color="auto" w:fill="auto"/>
          <w:lang w:val="ru-RU" w:eastAsia="ru-RU" w:bidi="ru-RU"/>
        </w:rPr>
        <w:t xml:space="preserve">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неинвазивного пренатального тестирования (определения внеклеточной ДНК плода по крови матери), определения РНК вируса гепатита С (Нераййз С </w:t>
      </w:r>
      <w:r>
        <w:rPr>
          <w:smallCaps/>
          <w:color w:val="000000"/>
          <w:spacing w:val="0"/>
          <w:w w:val="100"/>
          <w:position w:val="0"/>
          <w:shd w:val="clear" w:color="auto" w:fill="auto"/>
          <w:lang w:val="ru-RU" w:eastAsia="ru-RU" w:bidi="ru-RU"/>
        </w:rPr>
        <w:t>унпз)</w:t>
      </w:r>
      <w:r>
        <w:rPr>
          <w:color w:val="000000"/>
          <w:spacing w:val="0"/>
          <w:w w:val="100"/>
          <w:position w:val="0"/>
          <w:shd w:val="clear" w:color="auto" w:fill="auto"/>
          <w:lang w:val="ru-RU" w:eastAsia="ru-RU" w:bidi="ru-RU"/>
        </w:rPr>
        <w:t xml:space="preserve"> в крови методом ПЦР, лабораторной диагностики для пациентов с хроническим вирусным гепатитом С (оценки стадии фиброза, определения генотипа ВГС))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pPr>
        <w:pStyle w:val="Style4"/>
        <w:keepNext w:val="0"/>
        <w:keepLines w:val="0"/>
        <w:widowControl w:val="0"/>
        <w:numPr>
          <w:ilvl w:val="0"/>
          <w:numId w:val="57"/>
        </w:numPr>
        <w:shd w:val="clear" w:color="auto" w:fill="auto"/>
        <w:tabs>
          <w:tab w:pos="1177"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В случае включения федеральной медицинской организации в маршрутизацию застрахованных лиц при наступлении страхового случая, предусмотренную территориальной программой ОМС, экстренная медицинская помощь застрахованным лицам оплачивается в рамках территориальной программы ОМС, за исключением категории тяжелых пациентов, в том числе пострадавших в результате чрезвычайной ситуации.</w:t>
      </w:r>
    </w:p>
    <w:p>
      <w:pPr>
        <w:pStyle w:val="Style4"/>
        <w:keepNext w:val="0"/>
        <w:keepLines w:val="0"/>
        <w:widowControl w:val="0"/>
        <w:numPr>
          <w:ilvl w:val="0"/>
          <w:numId w:val="57"/>
        </w:numPr>
        <w:shd w:val="clear" w:color="auto" w:fill="auto"/>
        <w:tabs>
          <w:tab w:pos="1177" w:val="left"/>
        </w:tabs>
        <w:bidi w:val="0"/>
        <w:spacing w:before="0" w:after="0" w:line="240" w:lineRule="auto"/>
        <w:ind w:left="0" w:right="0" w:firstLine="700"/>
        <w:jc w:val="both"/>
      </w:pPr>
      <w:r>
        <w:rPr>
          <w:color w:val="000000"/>
          <w:spacing w:val="0"/>
          <w:w w:val="100"/>
          <w:position w:val="0"/>
          <w:shd w:val="clear" w:color="auto" w:fill="auto"/>
          <w:lang w:val="ru-RU" w:eastAsia="ru-RU" w:bidi="ru-RU"/>
        </w:rP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2025 год (за счет всех источников финансирования).</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Медицинскими организациями поэтапно обеспечивается забор и направление материала для проведения неинвазивного пренатального тестирования (определения внеклеточной ДНК плода по крови матери) и предимплантационного генетического тестирования (эмбриона на моногенные заболевания и на структурные хромосомные перестройки) в федеральные медицинские организации и медицинские организации, подведомственные Министерству здравоохранения Омской области, имеющие лицензию на предоставление работ (услуг) по лабораторной генетике, в соответствии с перечнем, утвержденным Министерством здравоохранения Российской Федерации.</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 xml:space="preserve">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ОМС, включая оценку его эффективности (факт наступления беременности). Результаты экспертиз направляются страховыми </w:t>
      </w:r>
      <w:r>
        <w:rPr>
          <w:color w:val="000000"/>
          <w:spacing w:val="0"/>
          <w:w w:val="100"/>
          <w:position w:val="0"/>
          <w:shd w:val="clear" w:color="auto" w:fill="auto"/>
          <w:lang w:val="ru-RU" w:eastAsia="ru-RU" w:bidi="ru-RU"/>
        </w:rPr>
        <w:t>медицинскими организациями в территориальный фонд ОМС Омской области и рассматриваются на заседаниях Комиссии при решении вопросов распределения медицинским организациям объемов медицинской помощи по экстракорпоральному оплодотворению.</w:t>
      </w:r>
    </w:p>
    <w:p>
      <w:pPr>
        <w:pStyle w:val="Style4"/>
        <w:keepNext w:val="0"/>
        <w:keepLines w:val="0"/>
        <w:widowControl w:val="0"/>
        <w:numPr>
          <w:ilvl w:val="0"/>
          <w:numId w:val="57"/>
        </w:numPr>
        <w:shd w:val="clear" w:color="auto" w:fill="auto"/>
        <w:tabs>
          <w:tab w:pos="118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pPr>
        <w:pStyle w:val="Style4"/>
        <w:keepNext w:val="0"/>
        <w:keepLines w:val="0"/>
        <w:widowControl w:val="0"/>
        <w:shd w:val="clear" w:color="auto" w:fill="auto"/>
        <w:bidi w:val="0"/>
        <w:spacing w:before="0" w:after="320" w:line="240" w:lineRule="auto"/>
        <w:ind w:left="0" w:right="0" w:firstLine="720"/>
        <w:jc w:val="both"/>
      </w:pPr>
      <w:r>
        <w:rPr>
          <w:color w:val="000000"/>
          <w:spacing w:val="0"/>
          <w:w w:val="100"/>
          <w:position w:val="0"/>
          <w:shd w:val="clear" w:color="auto" w:fill="auto"/>
          <w:lang w:val="ru-RU" w:eastAsia="ru-RU" w:bidi="ru-RU"/>
        </w:rPr>
        <w:t>В целях организации проведения противоопухолевой лекарственной терапии в рамках базовой программы ОМС Министерство здравоохранения Омской области при осуществлении подведомственными медицинскими организациями закупок одних и тех же лекарственных препаратов организует проведение совместных закупок либо совместных конкурсов или аукционов на основании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соглашений о проведении совместного конкурса или аукциона.</w:t>
      </w:r>
    </w:p>
    <w:p>
      <w:pPr>
        <w:pStyle w:val="Style4"/>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ru-RU" w:eastAsia="ru-RU" w:bidi="ru-RU"/>
        </w:rPr>
        <w:t>V. Финансовое обеспечение Программы</w:t>
      </w:r>
    </w:p>
    <w:p>
      <w:pPr>
        <w:pStyle w:val="Style4"/>
        <w:keepNext w:val="0"/>
        <w:keepLines w:val="0"/>
        <w:widowControl w:val="0"/>
        <w:numPr>
          <w:ilvl w:val="0"/>
          <w:numId w:val="59"/>
        </w:numPr>
        <w:shd w:val="clear" w:color="auto" w:fill="auto"/>
        <w:tabs>
          <w:tab w:pos="117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Источниками финансового обеспечения Программы являются средства федерального бюджета, областного бюджета, а также средства ОМС (бюджета Федерального фонда ОМС, бюджета территориального фонда ОМС Омской области).</w:t>
      </w:r>
    </w:p>
    <w:p>
      <w:pPr>
        <w:pStyle w:val="Style4"/>
        <w:keepNext w:val="0"/>
        <w:keepLines w:val="0"/>
        <w:widowControl w:val="0"/>
        <w:numPr>
          <w:ilvl w:val="0"/>
          <w:numId w:val="59"/>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В рамках территориальной программы ОМС застрахованным лицам при заболеваниях и состояниях, предусмотренных пунктом 20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в том числе лицам, находящимся в стационарных организациях социального обслуживания, оказываются:</w:t>
      </w:r>
    </w:p>
    <w:p>
      <w:pPr>
        <w:pStyle w:val="Style4"/>
        <w:keepNext w:val="0"/>
        <w:keepLines w:val="0"/>
        <w:widowControl w:val="0"/>
        <w:numPr>
          <w:ilvl w:val="0"/>
          <w:numId w:val="61"/>
        </w:numPr>
        <w:shd w:val="clear" w:color="auto" w:fill="auto"/>
        <w:tabs>
          <w:tab w:pos="110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ОМС (ветерана боевых действий, его (ее) супруги (супруга), а также супруги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диспансерное </w:t>
      </w:r>
      <w:r>
        <w:rPr>
          <w:color w:val="000000"/>
          <w:spacing w:val="0"/>
          <w:w w:val="100"/>
          <w:position w:val="0"/>
          <w:shd w:val="clear" w:color="auto" w:fill="auto"/>
          <w:lang w:val="ru-RU" w:eastAsia="ru-RU" w:bidi="ru-RU"/>
        </w:rPr>
        <w:t>наблюдение, дистанционное наблюдение за состоянием здоровья пациентов с артериальной гипертензией и пациентов с сахарным диабетом,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ОМС;</w:t>
      </w:r>
    </w:p>
    <w:p>
      <w:pPr>
        <w:pStyle w:val="Style4"/>
        <w:keepNext w:val="0"/>
        <w:keepLines w:val="0"/>
        <w:widowControl w:val="0"/>
        <w:numPr>
          <w:ilvl w:val="0"/>
          <w:numId w:val="61"/>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скорая медицинская помощь (за исключением санитарно-авиационной эвакуации);</w:t>
      </w:r>
    </w:p>
    <w:p>
      <w:pPr>
        <w:pStyle w:val="Style4"/>
        <w:keepNext w:val="0"/>
        <w:keepLines w:val="0"/>
        <w:widowControl w:val="0"/>
        <w:numPr>
          <w:ilvl w:val="0"/>
          <w:numId w:val="61"/>
        </w:numPr>
        <w:shd w:val="clear" w:color="auto" w:fill="auto"/>
        <w:tabs>
          <w:tab w:pos="107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ОМС, в стационарных условиях и условиях дневного стационара, в том числе больным с онкологическими заболеваниями, больным с гепатитом С в соответствии с клиническими рекомендациями, а также применение вспомогательных репродуктивных технологий (экстракорпорального оплодотворения), включая предоставление лекарственных препаратов, включенных в перечень жизненно необходимых и важнейших лекарственных препаратов, утвержденный распоряжением Правительства Российской Федерации от 12 октября 2019 года № 2406-р, в соответствии с законодательством Российской Федерации;</w:t>
      </w:r>
    </w:p>
    <w:p>
      <w:pPr>
        <w:pStyle w:val="Style4"/>
        <w:keepNext w:val="0"/>
        <w:keepLines w:val="0"/>
        <w:widowControl w:val="0"/>
        <w:numPr>
          <w:ilvl w:val="0"/>
          <w:numId w:val="61"/>
        </w:numPr>
        <w:shd w:val="clear" w:color="auto" w:fill="auto"/>
        <w:tabs>
          <w:tab w:pos="107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мероприятия по медицинской реабилитации, осуществляемой в медицинских организациях в амбулаторных условиях, в стационарных условиях и условиях дневного стационара;</w:t>
      </w:r>
    </w:p>
    <w:p>
      <w:pPr>
        <w:pStyle w:val="Style4"/>
        <w:keepNext w:val="0"/>
        <w:keepLines w:val="0"/>
        <w:widowControl w:val="0"/>
        <w:numPr>
          <w:ilvl w:val="0"/>
          <w:numId w:val="61"/>
        </w:numPr>
        <w:shd w:val="clear" w:color="auto" w:fill="auto"/>
        <w:tabs>
          <w:tab w:pos="107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проведение патолого-анатомических вскрытий (посмертное патолого</w:t>
        <w:softHyphen/>
        <w:t>анатомическое исследование внутренних органов и тканей умершего человека, новорожденных, а также мертворожденных и плодов) в патолого</w:t>
        <w:softHyphen/>
        <w:t>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ОМС, в указанных медицинских организациях.</w:t>
      </w:r>
    </w:p>
    <w:p>
      <w:pPr>
        <w:pStyle w:val="Style4"/>
        <w:keepNext w:val="0"/>
        <w:keepLines w:val="0"/>
        <w:widowControl w:val="0"/>
        <w:numPr>
          <w:ilvl w:val="0"/>
          <w:numId w:val="63"/>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За счет бюджетных ассигнований федерального бюджета, в том числе за счет межбюджетных трансфертов из федерального бюджета бюджету Федерального фонда ОМС, осуществляется финансовое обеспечение высокотехнологичной медицинской помощи, не включенной в базовую программу ОМС:</w:t>
      </w:r>
    </w:p>
    <w:p>
      <w:pPr>
        <w:pStyle w:val="Style4"/>
        <w:keepNext w:val="0"/>
        <w:keepLines w:val="0"/>
        <w:widowControl w:val="0"/>
        <w:numPr>
          <w:ilvl w:val="0"/>
          <w:numId w:val="65"/>
        </w:numPr>
        <w:shd w:val="clear" w:color="auto" w:fill="auto"/>
        <w:tabs>
          <w:tab w:pos="107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федеральными медицинскими организациями и медицинскими организациями частной системы здравоохранения, включенными в перечень, утверждаемый Министерством здравоохранения Российской Федерации;</w:t>
      </w:r>
    </w:p>
    <w:p>
      <w:pPr>
        <w:pStyle w:val="Style4"/>
        <w:keepNext w:val="0"/>
        <w:keepLines w:val="0"/>
        <w:widowControl w:val="0"/>
        <w:numPr>
          <w:ilvl w:val="0"/>
          <w:numId w:val="65"/>
        </w:numPr>
        <w:shd w:val="clear" w:color="auto" w:fill="auto"/>
        <w:tabs>
          <w:tab w:pos="106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медицинскими организациями, подведомственными исполнительным органам субъектов Российской Федерации.</w:t>
      </w:r>
    </w:p>
    <w:p>
      <w:pPr>
        <w:pStyle w:val="Style4"/>
        <w:keepNext w:val="0"/>
        <w:keepLines w:val="0"/>
        <w:widowControl w:val="0"/>
        <w:numPr>
          <w:ilvl w:val="0"/>
          <w:numId w:val="63"/>
        </w:numPr>
        <w:shd w:val="clear" w:color="auto" w:fill="auto"/>
        <w:tabs>
          <w:tab w:pos="117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В соответствии с федеральной программой за счет бюджетных ассигнований федерального бюджета осуществляется финансовое обеспечение:</w:t>
      </w:r>
    </w:p>
    <w:p>
      <w:pPr>
        <w:pStyle w:val="Style4"/>
        <w:keepNext w:val="0"/>
        <w:keepLines w:val="0"/>
        <w:widowControl w:val="0"/>
        <w:numPr>
          <w:ilvl w:val="0"/>
          <w:numId w:val="67"/>
        </w:numPr>
        <w:shd w:val="clear" w:color="auto" w:fill="auto"/>
        <w:tabs>
          <w:tab w:pos="339" w:val="left"/>
        </w:tabs>
        <w:bidi w:val="0"/>
        <w:spacing w:before="0" w:after="0" w:line="240" w:lineRule="auto"/>
        <w:ind w:left="0" w:right="0" w:firstLine="700"/>
        <w:jc w:val="both"/>
      </w:pPr>
      <w:r>
        <w:rPr>
          <w:color w:val="000000"/>
          <w:spacing w:val="0"/>
          <w:w w:val="100"/>
          <w:position w:val="0"/>
          <w:shd w:val="clear" w:color="auto" w:fill="auto"/>
          <w:lang w:val="ru-RU" w:eastAsia="ru-RU" w:bidi="ru-RU"/>
        </w:rPr>
        <w:t xml:space="preserve">скорой, в том числе скорой специализированной, медицинской </w:t>
      </w:r>
      <w:r>
        <w:rPr>
          <w:color w:val="000000"/>
          <w:spacing w:val="0"/>
          <w:w w:val="100"/>
          <w:position w:val="0"/>
          <w:shd w:val="clear" w:color="auto" w:fill="auto"/>
          <w:lang w:val="ru-RU" w:eastAsia="ru-RU" w:bidi="ru-RU"/>
        </w:rPr>
        <w:t>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ОМС,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ОМС);</w:t>
      </w:r>
    </w:p>
    <w:p>
      <w:pPr>
        <w:pStyle w:val="Style4"/>
        <w:keepNext w:val="0"/>
        <w:keepLines w:val="0"/>
        <w:widowControl w:val="0"/>
        <w:numPr>
          <w:ilvl w:val="0"/>
          <w:numId w:val="67"/>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медицинской эвакуации, осуществляемой федеральными медицинскими организациями, по перечню, утверждаемому Министерством здравоохранения Российской Федерации;</w:t>
      </w:r>
    </w:p>
    <w:p>
      <w:pPr>
        <w:pStyle w:val="Style4"/>
        <w:keepNext w:val="0"/>
        <w:keepLines w:val="0"/>
        <w:widowControl w:val="0"/>
        <w:numPr>
          <w:ilvl w:val="0"/>
          <w:numId w:val="67"/>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w:t>
      </w:r>
      <w:r>
        <w:rPr>
          <w:i/>
          <w:iCs/>
          <w:color w:val="000000"/>
          <w:spacing w:val="0"/>
          <w:w w:val="100"/>
          <w:position w:val="0"/>
          <w:shd w:val="clear" w:color="auto" w:fill="auto"/>
          <w:lang w:val="ru-RU" w:eastAsia="ru-RU" w:bidi="ru-RU"/>
        </w:rPr>
        <w:t>с</w:t>
      </w:r>
      <w:r>
        <w:rPr>
          <w:color w:val="000000"/>
          <w:spacing w:val="0"/>
          <w:w w:val="100"/>
          <w:position w:val="0"/>
          <w:shd w:val="clear" w:color="auto" w:fill="auto"/>
          <w:lang w:val="ru-RU" w:eastAsia="ru-RU" w:bidi="ru-RU"/>
        </w:rPr>
        <w:t xml:space="preserve"> опасными для здоровья человека физическими, химическими и биологическими факторами, включенных в соответствующий перечень, и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ОМС, а также в части расходов, не включенных в структуру тарифов на оплату медицинской помощи, предусмотренную базовой программой ОМС);</w:t>
      </w:r>
    </w:p>
    <w:p>
      <w:pPr>
        <w:pStyle w:val="Style4"/>
        <w:keepNext w:val="0"/>
        <w:keepLines w:val="0"/>
        <w:widowControl w:val="0"/>
        <w:numPr>
          <w:ilvl w:val="0"/>
          <w:numId w:val="67"/>
        </w:numPr>
        <w:shd w:val="clear" w:color="auto" w:fill="auto"/>
        <w:tabs>
          <w:tab w:pos="108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расширенного неонатального скрининга;</w:t>
      </w:r>
    </w:p>
    <w:p>
      <w:pPr>
        <w:pStyle w:val="Style4"/>
        <w:keepNext w:val="0"/>
        <w:keepLines w:val="0"/>
        <w:widowControl w:val="0"/>
        <w:numPr>
          <w:ilvl w:val="0"/>
          <w:numId w:val="67"/>
        </w:numPr>
        <w:shd w:val="clear" w:color="auto" w:fill="auto"/>
        <w:tabs>
          <w:tab w:pos="106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pPr>
        <w:pStyle w:val="Style4"/>
        <w:keepNext w:val="0"/>
        <w:keepLines w:val="0"/>
        <w:widowControl w:val="0"/>
        <w:numPr>
          <w:ilvl w:val="0"/>
          <w:numId w:val="67"/>
        </w:numPr>
        <w:shd w:val="clear" w:color="auto" w:fill="auto"/>
        <w:tabs>
          <w:tab w:pos="107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pPr>
        <w:pStyle w:val="Style4"/>
        <w:keepNext w:val="0"/>
        <w:keepLines w:val="0"/>
        <w:widowControl w:val="0"/>
        <w:numPr>
          <w:ilvl w:val="0"/>
          <w:numId w:val="67"/>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санаторно-курортного лечения отдельных категорий граждан в соответствии с законодательством Российской Федерации;</w:t>
      </w:r>
    </w:p>
    <w:p>
      <w:pPr>
        <w:pStyle w:val="Style4"/>
        <w:keepNext w:val="0"/>
        <w:keepLines w:val="0"/>
        <w:widowControl w:val="0"/>
        <w:numPr>
          <w:ilvl w:val="0"/>
          <w:numId w:val="67"/>
        </w:numPr>
        <w:shd w:val="clear" w:color="auto" w:fill="auto"/>
        <w:tabs>
          <w:tab w:pos="107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в том числе:</w:t>
      </w:r>
    </w:p>
    <w:p>
      <w:pPr>
        <w:pStyle w:val="Style4"/>
        <w:keepNext w:val="0"/>
        <w:keepLines w:val="0"/>
        <w:widowControl w:val="0"/>
        <w:numPr>
          <w:ilvl w:val="0"/>
          <w:numId w:val="69"/>
        </w:numPr>
        <w:shd w:val="clear" w:color="auto" w:fill="auto"/>
        <w:tabs>
          <w:tab w:pos="275" w:val="left"/>
        </w:tabs>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в отношении взрослых в возрасте 18 лет и старше - за счет бюджетных </w:t>
      </w:r>
      <w:r>
        <w:rPr>
          <w:color w:val="000000"/>
          <w:spacing w:val="0"/>
          <w:w w:val="100"/>
          <w:position w:val="0"/>
          <w:shd w:val="clear" w:color="auto" w:fill="auto"/>
          <w:lang w:val="ru-RU" w:eastAsia="ru-RU" w:bidi="ru-RU"/>
        </w:rPr>
        <w:t>ассигнований, предусмотренных в федеральном бюджете Министерству здравоохранения Российской Федерации;</w:t>
      </w:r>
    </w:p>
    <w:p>
      <w:pPr>
        <w:pStyle w:val="Style4"/>
        <w:keepNext w:val="0"/>
        <w:keepLines w:val="0"/>
        <w:widowControl w:val="0"/>
        <w:numPr>
          <w:ilvl w:val="0"/>
          <w:numId w:val="69"/>
        </w:numPr>
        <w:shd w:val="clear" w:color="auto" w:fill="auto"/>
        <w:tabs>
          <w:tab w:pos="948"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(далее - Фонд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pPr>
        <w:pStyle w:val="Style4"/>
        <w:keepNext w:val="0"/>
        <w:keepLines w:val="0"/>
        <w:widowControl w:val="0"/>
        <w:numPr>
          <w:ilvl w:val="0"/>
          <w:numId w:val="67"/>
        </w:numPr>
        <w:shd w:val="clear" w:color="auto" w:fill="auto"/>
        <w:tabs>
          <w:tab w:pos="115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закупки антивирусных лекарственных препаратов, включенных в перечень жизненно необходимых и важнейших лекарственных препаратов, утвержденный распоряжением Правительства Российской Федерации от 12 октября 2019 года № 2406-р, для лечения лиц, инфицированных вирусом иммунодефицита человека, в том числе в сочетании </w:t>
      </w:r>
      <w:r>
        <w:rPr>
          <w:i/>
          <w:iCs/>
          <w:color w:val="000000"/>
          <w:spacing w:val="0"/>
          <w:w w:val="100"/>
          <w:position w:val="0"/>
          <w:shd w:val="clear" w:color="auto" w:fill="auto"/>
          <w:lang w:val="ru-RU" w:eastAsia="ru-RU" w:bidi="ru-RU"/>
        </w:rPr>
        <w:t>с</w:t>
      </w:r>
      <w:r>
        <w:rPr>
          <w:color w:val="000000"/>
          <w:spacing w:val="0"/>
          <w:w w:val="100"/>
          <w:position w:val="0"/>
          <w:shd w:val="clear" w:color="auto" w:fill="auto"/>
          <w:lang w:val="ru-RU" w:eastAsia="ru-RU" w:bidi="ru-RU"/>
        </w:rPr>
        <w:t xml:space="preserve"> вирусами гепатитов В и С;</w:t>
      </w:r>
    </w:p>
    <w:p>
      <w:pPr>
        <w:pStyle w:val="Style4"/>
        <w:keepNext w:val="0"/>
        <w:keepLines w:val="0"/>
        <w:widowControl w:val="0"/>
        <w:numPr>
          <w:ilvl w:val="0"/>
          <w:numId w:val="67"/>
        </w:numPr>
        <w:shd w:val="clear" w:color="auto" w:fill="auto"/>
        <w:tabs>
          <w:tab w:pos="1215"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закупки антибактериальных и противотуберкулезных лекарственных препаратов, включенных в перечень жизненно необходимых и важнейших лекарственных препаратов, утвержденный распоряжением Правительства Российской Федерации от 12 октября 2019 года № 2406-р, для лечения лиц, больных туберкулезом с множественной лекарственной устойчивостью возбудителя;</w:t>
      </w:r>
    </w:p>
    <w:p>
      <w:pPr>
        <w:pStyle w:val="Style4"/>
        <w:keepNext w:val="0"/>
        <w:keepLines w:val="0"/>
        <w:widowControl w:val="0"/>
        <w:numPr>
          <w:ilvl w:val="0"/>
          <w:numId w:val="67"/>
        </w:numPr>
        <w:shd w:val="clear" w:color="auto" w:fill="auto"/>
        <w:tabs>
          <w:tab w:pos="1210"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pPr>
        <w:pStyle w:val="Style4"/>
        <w:keepNext w:val="0"/>
        <w:keepLines w:val="0"/>
        <w:widowControl w:val="0"/>
        <w:numPr>
          <w:ilvl w:val="0"/>
          <w:numId w:val="67"/>
        </w:numPr>
        <w:shd w:val="clear" w:color="auto" w:fill="auto"/>
        <w:tabs>
          <w:tab w:pos="1210"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пунктом 1 части 1 статьи 6.2 Федерального закона «О государственной социальной помощи»;</w:t>
      </w:r>
    </w:p>
    <w:p>
      <w:pPr>
        <w:pStyle w:val="Style4"/>
        <w:keepNext w:val="0"/>
        <w:keepLines w:val="0"/>
        <w:widowControl w:val="0"/>
        <w:numPr>
          <w:ilvl w:val="0"/>
          <w:numId w:val="67"/>
        </w:numPr>
        <w:shd w:val="clear" w:color="auto" w:fill="auto"/>
        <w:tabs>
          <w:tab w:pos="1210" w:val="left"/>
        </w:tabs>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мероприятий, предусмотренных национальным календарем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утвержденной </w:t>
      </w:r>
      <w:r>
        <w:rPr>
          <w:color w:val="000000"/>
          <w:spacing w:val="0"/>
          <w:w w:val="100"/>
          <w:position w:val="0"/>
          <w:shd w:val="clear" w:color="auto" w:fill="auto"/>
          <w:lang w:val="ru-RU" w:eastAsia="ru-RU" w:bidi="ru-RU"/>
        </w:rPr>
        <w:t>постановлением Правительства Российской Федерации от 26 декабря 2017 года № 1640;</w:t>
      </w:r>
    </w:p>
    <w:p>
      <w:pPr>
        <w:pStyle w:val="Style4"/>
        <w:keepNext w:val="0"/>
        <w:keepLines w:val="0"/>
        <w:widowControl w:val="0"/>
        <w:numPr>
          <w:ilvl w:val="0"/>
          <w:numId w:val="67"/>
        </w:numPr>
        <w:shd w:val="clear" w:color="auto" w:fill="auto"/>
        <w:tabs>
          <w:tab w:pos="1210"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медицинской деятельности, связанной с донорством органов и тканей человека в целях трансплантации (пересадки);</w:t>
      </w:r>
    </w:p>
    <w:p>
      <w:pPr>
        <w:pStyle w:val="Style4"/>
        <w:keepNext w:val="0"/>
        <w:keepLines w:val="0"/>
        <w:widowControl w:val="0"/>
        <w:numPr>
          <w:ilvl w:val="0"/>
          <w:numId w:val="67"/>
        </w:numPr>
        <w:shd w:val="clear" w:color="auto" w:fill="auto"/>
        <w:tabs>
          <w:tab w:pos="1210"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дополнительных мероприятий, установленных законодательством Российской Федерации, в том числе в соответствии с Указом Президента Российской Федерации от 5 января 2021 года №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«Круг добра».</w:t>
      </w:r>
    </w:p>
    <w:p>
      <w:pPr>
        <w:pStyle w:val="Style4"/>
        <w:keepNext w:val="0"/>
        <w:keepLines w:val="0"/>
        <w:widowControl w:val="0"/>
        <w:numPr>
          <w:ilvl w:val="0"/>
          <w:numId w:val="63"/>
        </w:numPr>
        <w:shd w:val="clear" w:color="auto" w:fill="auto"/>
        <w:tabs>
          <w:tab w:pos="117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За счет бюджетных ассигнований областного бюджета осуществляется финансовое обеспечение:</w:t>
      </w:r>
    </w:p>
    <w:p>
      <w:pPr>
        <w:pStyle w:val="Style4"/>
        <w:keepNext w:val="0"/>
        <w:keepLines w:val="0"/>
        <w:widowControl w:val="0"/>
        <w:numPr>
          <w:ilvl w:val="0"/>
          <w:numId w:val="71"/>
        </w:numPr>
        <w:shd w:val="clear" w:color="auto" w:fill="auto"/>
        <w:tabs>
          <w:tab w:pos="1075"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скорой, в том числе скорой специализированной, медицинской помощи, не включенной в территориальную программу ОМС, санитарно</w:t>
        <w:softHyphen/>
        <w:t>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территориальной программе ОМС;</w:t>
      </w:r>
    </w:p>
    <w:p>
      <w:pPr>
        <w:pStyle w:val="Style4"/>
        <w:keepNext w:val="0"/>
        <w:keepLines w:val="0"/>
        <w:widowControl w:val="0"/>
        <w:numPr>
          <w:ilvl w:val="0"/>
          <w:numId w:val="71"/>
        </w:numPr>
        <w:shd w:val="clear" w:color="auto" w:fill="auto"/>
        <w:tabs>
          <w:tab w:pos="1075"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скорой, в том числе скорой специализированной, медицинской помощи не застрахованным по ОМС лицам;</w:t>
      </w:r>
    </w:p>
    <w:p>
      <w:pPr>
        <w:pStyle w:val="Style4"/>
        <w:keepNext w:val="0"/>
        <w:keepLines w:val="0"/>
        <w:widowControl w:val="0"/>
        <w:numPr>
          <w:ilvl w:val="0"/>
          <w:numId w:val="71"/>
        </w:numPr>
        <w:shd w:val="clear" w:color="auto" w:fill="auto"/>
        <w:tabs>
          <w:tab w:pos="1075"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первичной медико-санитарной, первичной специализированной медико-санитарной помощи при заболеваниях, не включенных в базовую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 психиатрами и врачами-фтизиатрами при заболеваниях, включенных в базовую программу ОМС, и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pPr>
        <w:pStyle w:val="Style4"/>
        <w:keepNext w:val="0"/>
        <w:keepLines w:val="0"/>
        <w:widowControl w:val="0"/>
        <w:numPr>
          <w:ilvl w:val="0"/>
          <w:numId w:val="71"/>
        </w:numPr>
        <w:shd w:val="clear" w:color="auto" w:fill="auto"/>
        <w:tabs>
          <w:tab w:pos="1075" w:val="left"/>
        </w:tabs>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специализированной медицинской помощи в части медицинской помощи при заболеваниях, не включенных в базовую программу ОМС (заболевания, передаваемые половым путем, вызванные вирусом иммунодефицита человека, синдром приобретенного иммунодефицита, </w:t>
      </w:r>
      <w:r>
        <w:rPr>
          <w:color w:val="000000"/>
          <w:spacing w:val="0"/>
          <w:w w:val="100"/>
          <w:position w:val="0"/>
          <w:shd w:val="clear" w:color="auto" w:fill="auto"/>
          <w:lang w:val="ru-RU" w:eastAsia="ru-RU" w:bidi="ru-RU"/>
        </w:rPr>
        <w:t>туберкулез, психические расстройства и расстройства поведения, связанные в том числе с употреблением психоактивных веществ);</w:t>
      </w:r>
    </w:p>
    <w:p>
      <w:pPr>
        <w:pStyle w:val="Style4"/>
        <w:keepNext w:val="0"/>
        <w:keepLines w:val="0"/>
        <w:widowControl w:val="0"/>
        <w:numPr>
          <w:ilvl w:val="0"/>
          <w:numId w:val="71"/>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pPr>
        <w:pStyle w:val="Style4"/>
        <w:keepNext w:val="0"/>
        <w:keepLines w:val="0"/>
        <w:widowControl w:val="0"/>
        <w:numPr>
          <w:ilvl w:val="0"/>
          <w:numId w:val="71"/>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высокотехнологичной медицинской помощи, оказываемой в медицинских организациях, подведомственных Министерству здравоохранения Омской области, в соответствии с разделом 2 приложения № 2 к Программе;</w:t>
      </w:r>
    </w:p>
    <w:p>
      <w:pPr>
        <w:pStyle w:val="Style4"/>
        <w:keepNext w:val="0"/>
        <w:keepLines w:val="0"/>
        <w:widowControl w:val="0"/>
        <w:numPr>
          <w:ilvl w:val="0"/>
          <w:numId w:val="71"/>
        </w:numPr>
        <w:shd w:val="clear" w:color="auto" w:fill="auto"/>
        <w:tabs>
          <w:tab w:pos="107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ОМС, а также пациентов, получающих паллиативную медицинскую помощь в хосписах и домах сестринского ухода;</w:t>
      </w:r>
    </w:p>
    <w:p>
      <w:pPr>
        <w:pStyle w:val="Style4"/>
        <w:keepNext w:val="0"/>
        <w:keepLines w:val="0"/>
        <w:widowControl w:val="0"/>
        <w:numPr>
          <w:ilvl w:val="0"/>
          <w:numId w:val="71"/>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медицинской деятельности, связанной </w:t>
      </w:r>
      <w:r>
        <w:rPr>
          <w:i/>
          <w:iCs/>
          <w:color w:val="000000"/>
          <w:spacing w:val="0"/>
          <w:w w:val="100"/>
          <w:position w:val="0"/>
          <w:shd w:val="clear" w:color="auto" w:fill="auto"/>
          <w:lang w:val="ru-RU" w:eastAsia="ru-RU" w:bidi="ru-RU"/>
        </w:rPr>
        <w:t>с</w:t>
      </w:r>
      <w:r>
        <w:rPr>
          <w:color w:val="000000"/>
          <w:spacing w:val="0"/>
          <w:w w:val="100"/>
          <w:position w:val="0"/>
          <w:shd w:val="clear" w:color="auto" w:fill="auto"/>
          <w:lang w:val="ru-RU" w:eastAsia="ru-RU" w:bidi="ru-RU"/>
        </w:rPr>
        <w:t xml:space="preserve">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pPr>
        <w:pStyle w:val="Style4"/>
        <w:keepNext w:val="0"/>
        <w:keepLines w:val="0"/>
        <w:widowControl w:val="0"/>
        <w:numPr>
          <w:ilvl w:val="0"/>
          <w:numId w:val="71"/>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предоставления в медицинских организациях, оказывающих паллиативную медицинскую помощь, государственной системы здравоохранения Омской области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pPr>
        <w:pStyle w:val="Style4"/>
        <w:keepNext w:val="0"/>
        <w:keepLines w:val="0"/>
        <w:widowControl w:val="0"/>
        <w:numPr>
          <w:ilvl w:val="0"/>
          <w:numId w:val="71"/>
        </w:numPr>
        <w:shd w:val="clear" w:color="auto" w:fill="auto"/>
        <w:tabs>
          <w:tab w:pos="1742" w:val="left"/>
          <w:tab w:pos="2794"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расходов</w:t>
        <w:tab/>
        <w:t>медицинских организаций, подведомственных</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Министерству здравоохранения Омской области, не включенных в структуру тарифов на оплату медицинской помощи, предусмотренную в территориальной программе ОМС;</w:t>
      </w:r>
    </w:p>
    <w:p>
      <w:pPr>
        <w:pStyle w:val="Style4"/>
        <w:keepNext w:val="0"/>
        <w:keepLines w:val="0"/>
        <w:widowControl w:val="0"/>
        <w:numPr>
          <w:ilvl w:val="0"/>
          <w:numId w:val="71"/>
        </w:numPr>
        <w:shd w:val="clear" w:color="auto" w:fill="auto"/>
        <w:tabs>
          <w:tab w:pos="1215"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объемов медицинской помощи, превышающих объемы, установленные в территориальной программе ОМС, в размере, превышающем размер субвенций, предоставляемых из бюджета Федерального фонда ОМС бюджету территориального фонда ОМС Омской области.</w:t>
      </w:r>
    </w:p>
    <w:p>
      <w:pPr>
        <w:pStyle w:val="Style4"/>
        <w:keepNext w:val="0"/>
        <w:keepLines w:val="0"/>
        <w:widowControl w:val="0"/>
        <w:numPr>
          <w:ilvl w:val="0"/>
          <w:numId w:val="63"/>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pPr>
        <w:pStyle w:val="Style4"/>
        <w:keepNext w:val="0"/>
        <w:keepLines w:val="0"/>
        <w:widowControl w:val="0"/>
        <w:numPr>
          <w:ilvl w:val="0"/>
          <w:numId w:val="63"/>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w:t>
      </w:r>
      <w:r>
        <w:rPr>
          <w:color w:val="000000"/>
          <w:spacing w:val="0"/>
          <w:w w:val="100"/>
          <w:position w:val="0"/>
          <w:shd w:val="clear" w:color="auto" w:fill="auto"/>
          <w:lang w:val="ru-RU" w:eastAsia="ru-RU" w:bidi="ru-RU"/>
        </w:rPr>
        <w:t>Омской области, на территории которой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ОМС, и паллиативной медицинской помощи, на основании межрегионального соглашения, заключаемого субъектом Российской Федерации и Омской областью, включающего двустороннее урегулирование вопроса возмещения затрат.</w:t>
      </w:r>
    </w:p>
    <w:p>
      <w:pPr>
        <w:pStyle w:val="Style4"/>
        <w:keepNext w:val="0"/>
        <w:keepLines w:val="0"/>
        <w:widowControl w:val="0"/>
        <w:numPr>
          <w:ilvl w:val="0"/>
          <w:numId w:val="63"/>
        </w:numPr>
        <w:shd w:val="clear" w:color="auto" w:fill="auto"/>
        <w:tabs>
          <w:tab w:pos="117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За счет бюджетных ассигнований областного бюджета осуществляются:</w:t>
      </w:r>
    </w:p>
    <w:p>
      <w:pPr>
        <w:pStyle w:val="Style4"/>
        <w:keepNext w:val="0"/>
        <w:keepLines w:val="0"/>
        <w:widowControl w:val="0"/>
        <w:numPr>
          <w:ilvl w:val="0"/>
          <w:numId w:val="73"/>
        </w:numPr>
        <w:shd w:val="clear" w:color="auto" w:fill="auto"/>
        <w:tabs>
          <w:tab w:pos="107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pPr>
        <w:pStyle w:val="Style4"/>
        <w:keepNext w:val="0"/>
        <w:keepLines w:val="0"/>
        <w:widowControl w:val="0"/>
        <w:numPr>
          <w:ilvl w:val="0"/>
          <w:numId w:val="73"/>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обеспечение с учетом пункта 86 Программы лекарственными препаратами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в соответствии с федеральным и областным законодательством;</w:t>
      </w:r>
    </w:p>
    <w:p>
      <w:pPr>
        <w:pStyle w:val="Style4"/>
        <w:keepNext w:val="0"/>
        <w:keepLines w:val="0"/>
        <w:widowControl w:val="0"/>
        <w:numPr>
          <w:ilvl w:val="0"/>
          <w:numId w:val="73"/>
        </w:numPr>
        <w:shd w:val="clear" w:color="auto" w:fill="auto"/>
        <w:tabs>
          <w:tab w:pos="107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обеспечение с учетом пункта 86 Программы лекарственными препаратами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со свободных цен, в соответствии с федеральным и областным законодательством;</w:t>
      </w:r>
    </w:p>
    <w:p>
      <w:pPr>
        <w:pStyle w:val="Style4"/>
        <w:keepNext w:val="0"/>
        <w:keepLines w:val="0"/>
        <w:widowControl w:val="0"/>
        <w:numPr>
          <w:ilvl w:val="0"/>
          <w:numId w:val="73"/>
        </w:numPr>
        <w:shd w:val="clear" w:color="auto" w:fill="auto"/>
        <w:tabs>
          <w:tab w:pos="107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 подведомственных Министерству здравоохранения Омской области;</w:t>
      </w:r>
    </w:p>
    <w:p>
      <w:pPr>
        <w:pStyle w:val="Style4"/>
        <w:keepNext w:val="0"/>
        <w:keepLines w:val="0"/>
        <w:widowControl w:val="0"/>
        <w:numPr>
          <w:ilvl w:val="0"/>
          <w:numId w:val="73"/>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pPr>
        <w:pStyle w:val="Style4"/>
        <w:keepNext w:val="0"/>
        <w:keepLines w:val="0"/>
        <w:widowControl w:val="0"/>
        <w:numPr>
          <w:ilvl w:val="0"/>
          <w:numId w:val="73"/>
        </w:numPr>
        <w:shd w:val="clear" w:color="auto" w:fill="auto"/>
        <w:tabs>
          <w:tab w:pos="107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pPr>
        <w:pStyle w:val="Style4"/>
        <w:keepNext w:val="0"/>
        <w:keepLines w:val="0"/>
        <w:widowControl w:val="0"/>
        <w:numPr>
          <w:ilvl w:val="0"/>
          <w:numId w:val="73"/>
        </w:numPr>
        <w:shd w:val="clear" w:color="auto" w:fill="auto"/>
        <w:tabs>
          <w:tab w:pos="1062" w:val="left"/>
        </w:tabs>
        <w:bidi w:val="0"/>
        <w:spacing w:before="0" w:after="0" w:line="240" w:lineRule="auto"/>
        <w:ind w:left="0" w:right="0" w:firstLine="720"/>
        <w:jc w:val="both"/>
        <w:sectPr>
          <w:headerReference w:type="default" r:id="rId12"/>
          <w:headerReference w:type="first" r:id="rId13"/>
          <w:footnotePr>
            <w:pos w:val="pageBottom"/>
            <w:numFmt w:val="decimal"/>
            <w:numRestart w:val="continuous"/>
          </w:footnotePr>
          <w:pgSz w:w="11900" w:h="16840"/>
          <w:pgMar w:top="1124" w:right="684" w:bottom="1196" w:left="1530" w:header="0" w:footer="3" w:gutter="0"/>
          <w:cols w:space="720"/>
          <w:noEndnote/>
          <w:titlePg/>
          <w:rtlGutter w:val="0"/>
          <w:docGrid w:linePitch="360"/>
        </w:sectPr>
      </w:pPr>
      <w:r>
        <w:rPr>
          <w:color w:val="000000"/>
          <w:spacing w:val="0"/>
          <w:w w:val="100"/>
          <w:position w:val="0"/>
          <w:shd w:val="clear" w:color="auto" w:fill="auto"/>
          <w:lang w:val="ru-RU" w:eastAsia="ru-RU" w:bidi="ru-RU"/>
        </w:rPr>
        <w:t>обеспечение медицинской деятельности, связанной с донорством органов и тканей человека в целях трансплантации (пересадки), в медицинских</w:t>
      </w:r>
    </w:p>
    <w:p>
      <w:pPr>
        <w:pStyle w:val="Style4"/>
        <w:keepNext w:val="0"/>
        <w:keepLines w:val="0"/>
        <w:widowControl w:val="0"/>
        <w:shd w:val="clear" w:color="auto" w:fill="auto"/>
        <w:bidi w:val="0"/>
        <w:spacing w:before="0" w:after="0" w:line="276" w:lineRule="auto"/>
        <w:ind w:left="0" w:right="0" w:firstLine="4660"/>
        <w:jc w:val="both"/>
      </w:pPr>
      <w:r>
        <w:rPr>
          <w:color w:val="000000"/>
          <w:spacing w:val="0"/>
          <w:w w:val="100"/>
          <w:position w:val="0"/>
          <w:shd w:val="clear" w:color="auto" w:fill="auto"/>
          <w:lang w:val="ru-RU" w:eastAsia="ru-RU" w:bidi="ru-RU"/>
        </w:rPr>
        <w:t>49 организациях, подведомственных Министерству здравоохранения Омской области.</w:t>
      </w:r>
    </w:p>
    <w:p>
      <w:pPr>
        <w:pStyle w:val="Style4"/>
        <w:keepNext w:val="0"/>
        <w:keepLines w:val="0"/>
        <w:widowControl w:val="0"/>
        <w:numPr>
          <w:ilvl w:val="0"/>
          <w:numId w:val="75"/>
        </w:numPr>
        <w:shd w:val="clear" w:color="auto" w:fill="auto"/>
        <w:tabs>
          <w:tab w:pos="118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а также граждан, выразивших желание стать опекуном или попечителем совершеннолетнего недееспособного или не полностью дееспособного гражданина, осуществляется:</w:t>
      </w:r>
    </w:p>
    <w:p>
      <w:pPr>
        <w:pStyle w:val="Style4"/>
        <w:keepNext w:val="0"/>
        <w:keepLines w:val="0"/>
        <w:widowControl w:val="0"/>
        <w:numPr>
          <w:ilvl w:val="0"/>
          <w:numId w:val="77"/>
        </w:numPr>
        <w:shd w:val="clear" w:color="auto" w:fill="auto"/>
        <w:tabs>
          <w:tab w:pos="1080"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в медицинских организациях, участвующих в реализации территориальной программы ОМС, в части видов медицинской помощи и по заболеваниям, входящим в территориальную программу ОМС, застрахованным лицам - за счет средств ОМС (по видам и условиям оказания медицинской помощи, включенным в базовую программу ОМС);</w:t>
      </w:r>
    </w:p>
    <w:p>
      <w:pPr>
        <w:pStyle w:val="Style4"/>
        <w:keepNext w:val="0"/>
        <w:keepLines w:val="0"/>
        <w:widowControl w:val="0"/>
        <w:numPr>
          <w:ilvl w:val="0"/>
          <w:numId w:val="77"/>
        </w:numPr>
        <w:shd w:val="clear" w:color="auto" w:fill="auto"/>
        <w:tabs>
          <w:tab w:pos="1080"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в медицинских организациях, подведомственных Министерству здравоохранения Омской области, в части видов медицинской помощи и по заболеваниям, не входящим в территориальную программу ОМС, - за счет бюджетных ассигнований областного бюджета.</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Проведение обязательных диагностических исследований и оказание медицинской помощи гражданам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гражданам, направляемым на альтернативную гражданскую службу, осуществляется за счет бюджетных ассигнований областного бюджета и средств ОМС в медицинских организациях, подведомственных Министерству здравоохранения Омской области, и медицинских организациях, участвующих в реализации территориальной программы ОМС, соответственно, за исключением случаев, предусмотренных в абзаце пятом настоящего пункта.</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Финансовое обеспечение медицинского освидетельствования в целях определения годности граждан к военной службе или приравненной к ней службе, а также диагностических исследований в целях медицинского освидетельствования по направлению военных комиссариатов осуществляется в соответствии с законодательством Российской Федерации и не включено в средние нормативы, установленные Программой.</w:t>
      </w:r>
    </w:p>
    <w:p>
      <w:pPr>
        <w:pStyle w:val="Style4"/>
        <w:keepNext w:val="0"/>
        <w:keepLines w:val="0"/>
        <w:widowControl w:val="0"/>
        <w:numPr>
          <w:ilvl w:val="0"/>
          <w:numId w:val="75"/>
        </w:numPr>
        <w:shd w:val="clear" w:color="auto" w:fill="auto"/>
        <w:tabs>
          <w:tab w:pos="1172" w:val="left"/>
        </w:tabs>
        <w:bidi w:val="0"/>
        <w:spacing w:before="0" w:after="0" w:line="240" w:lineRule="auto"/>
        <w:ind w:left="0" w:right="0" w:firstLine="720"/>
        <w:jc w:val="both"/>
        <w:sectPr>
          <w:headerReference w:type="default" r:id="rId14"/>
          <w:footnotePr>
            <w:pos w:val="pageBottom"/>
            <w:numFmt w:val="decimal"/>
            <w:numRestart w:val="continuous"/>
          </w:footnotePr>
          <w:pgSz w:w="11900" w:h="16840"/>
          <w:pgMar w:top="711" w:right="687" w:bottom="711" w:left="1532" w:header="283" w:footer="283" w:gutter="0"/>
          <w:pgNumType w:start="50"/>
          <w:cols w:space="720"/>
          <w:noEndnote/>
          <w:rtlGutter w:val="0"/>
          <w:docGrid w:linePitch="360"/>
        </w:sectPr>
      </w:pPr>
      <w:r>
        <w:rPr>
          <w:color w:val="000000"/>
          <w:spacing w:val="0"/>
          <w:w w:val="100"/>
          <w:position w:val="0"/>
          <w:shd w:val="clear" w:color="auto" w:fill="auto"/>
          <w:lang w:val="ru-RU" w:eastAsia="ru-RU" w:bidi="ru-RU"/>
        </w:rPr>
        <w:t>За счет бюджетных ассигнований федерального бюджета, областного бюджета в установленном порядке:</w:t>
      </w:r>
    </w:p>
    <w:p>
      <w:pPr>
        <w:pStyle w:val="Style4"/>
        <w:keepNext w:val="0"/>
        <w:keepLines w:val="0"/>
        <w:widowControl w:val="0"/>
        <w:numPr>
          <w:ilvl w:val="0"/>
          <w:numId w:val="79"/>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оказывается медицинская помощь и предоставляются иные государственные услуги (выполняются работы) в медицинских организациях, подведомственных федеральным органам исполнительной власти, Министерству здравоохранения Омской области соответственно, за исключением видов медицинской помощи, оказываемой за счет средств ОМС,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ОМС),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пункте 20 Программы, финансовое обеспечение которых осуществляется за счет средств ОМС в рамках базовой программы ОМС),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молочных кухнях и в прочих медицинских организациях, входящих в номенклатуру медицинских организаций, утверждаемую Министерством здравоохранения Российской Федерации;</w:t>
      </w:r>
    </w:p>
    <w:p>
      <w:pPr>
        <w:pStyle w:val="Style4"/>
        <w:keepNext w:val="0"/>
        <w:keepLines w:val="0"/>
        <w:widowControl w:val="0"/>
        <w:numPr>
          <w:ilvl w:val="0"/>
          <w:numId w:val="79"/>
        </w:numPr>
        <w:shd w:val="clear" w:color="auto" w:fill="auto"/>
        <w:tabs>
          <w:tab w:pos="107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применение телемедицинских (дистанционных) технологий при оказании медицинской помощи.</w:t>
      </w:r>
    </w:p>
    <w:p>
      <w:pPr>
        <w:pStyle w:val="Style4"/>
        <w:keepNext w:val="0"/>
        <w:keepLines w:val="0"/>
        <w:widowControl w:val="0"/>
        <w:numPr>
          <w:ilvl w:val="0"/>
          <w:numId w:val="81"/>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Проведение патолого-анатомических вскрытий (посмертное патолого</w:t>
        <w:softHyphen/>
        <w:t>анатомическое исследование внутренних органов и тканей умершего человека, новорожденных, а также мертворожденных и плодов) в патолого</w:t>
        <w:softHyphen/>
        <w:t xml:space="preserve">анатомических отделениях медицинских организаций, имеющих лицензии на осуществление медицинской деятельности, предусматривающие </w:t>
      </w:r>
      <w:r>
        <w:rPr>
          <w:color w:val="000000"/>
          <w:spacing w:val="0"/>
          <w:w w:val="100"/>
          <w:position w:val="0"/>
          <w:shd w:val="clear" w:color="auto" w:fill="auto"/>
          <w:lang w:val="ru-RU" w:eastAsia="ru-RU" w:bidi="ru-RU"/>
        </w:rPr>
        <w:t>выполнение работ (услуг) по патологической анатомии, осуществляется за счет бюджетных ассигнований федерального бюджета и областного бюджета с учетом подведомственности медицинских организаций федеральным органам исполнительной власти и Министерству здравоохранения Омской области:</w:t>
      </w:r>
    </w:p>
    <w:p>
      <w:pPr>
        <w:pStyle w:val="Style4"/>
        <w:keepNext w:val="0"/>
        <w:keepLines w:val="0"/>
        <w:widowControl w:val="0"/>
        <w:numPr>
          <w:ilvl w:val="0"/>
          <w:numId w:val="83"/>
        </w:numPr>
        <w:shd w:val="clear" w:color="auto" w:fill="auto"/>
        <w:tabs>
          <w:tab w:pos="109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ВИЧ,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медицинских организациях, оказывающих специализированную паллиативную помощь;</w:t>
      </w:r>
    </w:p>
    <w:p>
      <w:pPr>
        <w:pStyle w:val="Style4"/>
        <w:keepNext w:val="0"/>
        <w:keepLines w:val="0"/>
        <w:widowControl w:val="0"/>
        <w:numPr>
          <w:ilvl w:val="0"/>
          <w:numId w:val="83"/>
        </w:numPr>
        <w:shd w:val="clear" w:color="auto" w:fill="auto"/>
        <w:tabs>
          <w:tab w:pos="109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pPr>
        <w:pStyle w:val="Style4"/>
        <w:keepNext w:val="0"/>
        <w:keepLines w:val="0"/>
        <w:widowControl w:val="0"/>
        <w:numPr>
          <w:ilvl w:val="0"/>
          <w:numId w:val="85"/>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За счет бюджетных ассигнований областного бюджета осуществляется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pPr>
        <w:pStyle w:val="Style4"/>
        <w:keepNext w:val="0"/>
        <w:keepLines w:val="0"/>
        <w:widowControl w:val="0"/>
        <w:numPr>
          <w:ilvl w:val="0"/>
          <w:numId w:val="85"/>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За счет бюджетных ассигнований областного бюджета также осуществляется финансовое обеспечение государственных услуг по санаторно- курортному лечению граждан, оказываемых в медицинских организациях государственной системы здравоохранения Омской области, в соответствии с порядком организации санаторно-курортного лечения, утверждаемым Министерством здравоохранения Российской Федерации.</w:t>
      </w:r>
    </w:p>
    <w:p>
      <w:pPr>
        <w:pStyle w:val="Style4"/>
        <w:keepNext w:val="0"/>
        <w:keepLines w:val="0"/>
        <w:widowControl w:val="0"/>
        <w:numPr>
          <w:ilvl w:val="0"/>
          <w:numId w:val="85"/>
        </w:numPr>
        <w:shd w:val="clear" w:color="auto" w:fill="auto"/>
        <w:tabs>
          <w:tab w:pos="118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Финансовое обеспечение компенсационных выплат отдельным категориям лиц, подвергающихся риску заражения новой коронавирусной инфекцией (СОУГО-19), порядок предоставления которых установлен постановлением Правительства Российской Федерации от 15 июля 2022 года №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ОМС.</w:t>
      </w:r>
    </w:p>
    <w:p>
      <w:pPr>
        <w:pStyle w:val="Style4"/>
        <w:keepNext w:val="0"/>
        <w:keepLines w:val="0"/>
        <w:widowControl w:val="0"/>
        <w:numPr>
          <w:ilvl w:val="0"/>
          <w:numId w:val="85"/>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Комиссия осуществляет распределение объемов медицинской помощи, утвержденных территориальной программой ОМС, между медицинскими организациями, включая федеральные медицинские организации, участвующими в реализации территориальной программы ОМС, за исключением объемов и соответствующих им финансовых средств, предназначенных для оплаты медицинской помощи, оказанной застрахованным на территории Омской области лицам за пределами Омской </w:t>
      </w:r>
      <w:r>
        <w:rPr>
          <w:color w:val="000000"/>
          <w:spacing w:val="0"/>
          <w:w w:val="100"/>
          <w:position w:val="0"/>
          <w:shd w:val="clear" w:color="auto" w:fill="auto"/>
          <w:lang w:val="ru-RU" w:eastAsia="ru-RU" w:bidi="ru-RU"/>
        </w:rPr>
        <w:t>области.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Не реже одного раза в квартал Комиссия осуществляет оценку исполнения распределенных объемов медицинской помощи, проводит анализ остатков средств ОМС на счетах медицинских организаций, участвующих в территориальной программе ОМС.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pPr>
        <w:pStyle w:val="Style4"/>
        <w:keepNext w:val="0"/>
        <w:keepLines w:val="0"/>
        <w:widowControl w:val="0"/>
        <w:shd w:val="clear" w:color="auto" w:fill="auto"/>
        <w:bidi w:val="0"/>
        <w:spacing w:before="0" w:after="320" w:line="240" w:lineRule="auto"/>
        <w:ind w:left="0" w:right="0" w:firstLine="720"/>
        <w:jc w:val="both"/>
      </w:pPr>
      <w:r>
        <w:rPr>
          <w:color w:val="000000"/>
          <w:spacing w:val="0"/>
          <w:w w:val="100"/>
          <w:position w:val="0"/>
          <w:shd w:val="clear" w:color="auto" w:fill="auto"/>
          <w:lang w:val="ru-RU" w:eastAsia="ru-RU" w:bidi="ru-RU"/>
        </w:rPr>
        <w:t>Средства нормированного страхового запаса территориального фонда ОМС Омской области, предусмотренные на дополнительное финансовое обеспечение реализации территориальной программы ОМС, а также на оплату медицинской помощи, оказанной застрахованным на территории Омской области лицам за пределами территории Омской области,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w:t>
      </w:r>
    </w:p>
    <w:p>
      <w:pPr>
        <w:pStyle w:val="Style4"/>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ru-RU" w:eastAsia="ru-RU" w:bidi="ru-RU"/>
        </w:rPr>
        <w:t>VI. Нормативы объема медицинской помощи, нормативы финансовых затрат</w:t>
        <w:br/>
        <w:t>на единицу объема медицинской помощи, подушевые нормативы</w:t>
        <w:br/>
        <w:t>финансирования</w:t>
      </w:r>
    </w:p>
    <w:p>
      <w:pPr>
        <w:pStyle w:val="Style4"/>
        <w:keepNext w:val="0"/>
        <w:keepLines w:val="0"/>
        <w:widowControl w:val="0"/>
        <w:numPr>
          <w:ilvl w:val="0"/>
          <w:numId w:val="85"/>
        </w:numPr>
        <w:shd w:val="clear" w:color="auto" w:fill="auto"/>
        <w:tabs>
          <w:tab w:pos="118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Нормативы объема медицинской помощи по видам, условиям и формам ее оказания в целом по Программе определяются в единицах объема в расчете на 1 жителя в год, по территориальной программе ОМС - в расчете на 1 застрахованное лицо.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Программой.</w:t>
      </w:r>
    </w:p>
    <w:p>
      <w:pPr>
        <w:pStyle w:val="Style4"/>
        <w:keepNext w:val="0"/>
        <w:keepLines w:val="0"/>
        <w:widowControl w:val="0"/>
        <w:numPr>
          <w:ilvl w:val="0"/>
          <w:numId w:val="85"/>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Нормативы объема оказания и нормативы финансовых затрат на единицу объема медицинской помощи на 2026 - 2028 годы приведены в приложении № 4 к Программе.</w:t>
      </w:r>
    </w:p>
    <w:p>
      <w:pPr>
        <w:pStyle w:val="Style4"/>
        <w:keepNext w:val="0"/>
        <w:keepLines w:val="0"/>
        <w:widowControl w:val="0"/>
        <w:numPr>
          <w:ilvl w:val="0"/>
          <w:numId w:val="85"/>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Омской области на 2026 год в соответствии с законодательством Российской Федерации об ОМС, определен в приложении № 5 к Программе.</w:t>
      </w:r>
    </w:p>
    <w:p>
      <w:pPr>
        <w:pStyle w:val="Style4"/>
        <w:keepNext w:val="0"/>
        <w:keepLines w:val="0"/>
        <w:widowControl w:val="0"/>
        <w:numPr>
          <w:ilvl w:val="0"/>
          <w:numId w:val="85"/>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Объем медицинской помощи в амбулаторных условиях, оказываемой с профилактической целью и иными целями, на 1 жителя / застрахованное лицо на 2026 год определен в приложении № 6 к Программе.</w:t>
      </w:r>
    </w:p>
    <w:p>
      <w:pPr>
        <w:pStyle w:val="Style4"/>
        <w:keepNext w:val="0"/>
        <w:keepLines w:val="0"/>
        <w:widowControl w:val="0"/>
        <w:numPr>
          <w:ilvl w:val="0"/>
          <w:numId w:val="85"/>
        </w:numPr>
        <w:shd w:val="clear" w:color="auto" w:fill="auto"/>
        <w:tabs>
          <w:tab w:pos="118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Дифференцированные нормативы объема медицинской помощи на 1 жителя и нормативы объема медицинской помощи на 1 застрахованное лицо с учетом этапов оказания медицинской помощи, уровня и структуры </w:t>
      </w:r>
      <w:r>
        <w:rPr>
          <w:color w:val="000000"/>
          <w:spacing w:val="0"/>
          <w:w w:val="100"/>
          <w:position w:val="0"/>
          <w:shd w:val="clear" w:color="auto" w:fill="auto"/>
          <w:lang w:val="ru-RU" w:eastAsia="ru-RU" w:bidi="ru-RU"/>
        </w:rPr>
        <w:t>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 финансового обеспечения первичной медико-санитарной помощи устанавливаются на основе перераспределения объемов медицинской помощи по видам, условиям и формам ее оказания.</w:t>
      </w:r>
    </w:p>
    <w:p>
      <w:pPr>
        <w:pStyle w:val="Style4"/>
        <w:keepNext w:val="0"/>
        <w:keepLines w:val="0"/>
        <w:widowControl w:val="0"/>
        <w:numPr>
          <w:ilvl w:val="0"/>
          <w:numId w:val="85"/>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При формировании территориальной программы ОМС учитываются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соответствующим приложением к федеральной программе, но не включаются в нормативы объема медицинской помощи, утвержденные территориальной программой ОМС.</w:t>
      </w:r>
    </w:p>
    <w:p>
      <w:pPr>
        <w:pStyle w:val="Style4"/>
        <w:keepNext w:val="0"/>
        <w:keepLines w:val="0"/>
        <w:widowControl w:val="0"/>
        <w:numPr>
          <w:ilvl w:val="0"/>
          <w:numId w:val="85"/>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Объем медицинской помощи, оказываемой не застрахованным по ОМС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территориальную программу ОМС, включается в нормативы объема медицинской помощи, оказываемой в амбулаторных и стационарных условиях, и обеспечивается за счет бюджетных ассигнований областного бюджета.</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Медицинская помощь, оказываемая застрахованным по ОМС гражданам в экстренной форме при внезапных острых заболеваниях, состояниях, обострении хронических заболеваний, представляющих угрозу жизни пациента, вне медицинской организации, включая медицинскую эвакуацию, в амбулаторных и стационарных условиях, обеспечивается за счет средств ОМС.</w:t>
      </w:r>
    </w:p>
    <w:p>
      <w:pPr>
        <w:pStyle w:val="Style4"/>
        <w:keepNext w:val="0"/>
        <w:keepLines w:val="0"/>
        <w:widowControl w:val="0"/>
        <w:numPr>
          <w:ilvl w:val="0"/>
          <w:numId w:val="85"/>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pPr>
        <w:pStyle w:val="Style4"/>
        <w:keepNext w:val="0"/>
        <w:keepLines w:val="0"/>
        <w:widowControl w:val="0"/>
        <w:numPr>
          <w:ilvl w:val="0"/>
          <w:numId w:val="85"/>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Подушевые нормативы финансирования, предусмотренные Программой (без учета расходов федерального бюджета), в среднем составляют:</w:t>
      </w:r>
    </w:p>
    <w:p>
      <w:pPr>
        <w:pStyle w:val="Style4"/>
        <w:keepNext w:val="0"/>
        <w:keepLines w:val="0"/>
        <w:widowControl w:val="0"/>
        <w:numPr>
          <w:ilvl w:val="0"/>
          <w:numId w:val="87"/>
        </w:numPr>
        <w:shd w:val="clear" w:color="auto" w:fill="auto"/>
        <w:tabs>
          <w:tab w:pos="1090"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за счет бюджетных ассигнований областного бюджета (в расчете на 1 жителя) в 2026 году - 5 765,40 рубля, в 2027 году - 7 331,30 рубля, в 2028 году - 6 985,90 рубля;</w:t>
      </w:r>
    </w:p>
    <w:p>
      <w:pPr>
        <w:pStyle w:val="Style4"/>
        <w:keepNext w:val="0"/>
        <w:keepLines w:val="0"/>
        <w:widowControl w:val="0"/>
        <w:numPr>
          <w:ilvl w:val="0"/>
          <w:numId w:val="87"/>
        </w:numPr>
        <w:shd w:val="clear" w:color="auto" w:fill="auto"/>
        <w:tabs>
          <w:tab w:pos="1090" w:val="left"/>
          <w:tab w:pos="1896" w:val="left"/>
          <w:tab w:pos="3168" w:val="left"/>
          <w:tab w:pos="3802" w:val="left"/>
          <w:tab w:pos="5280" w:val="left"/>
          <w:tab w:pos="7253" w:val="left"/>
          <w:tab w:pos="9370"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за счет средств ОМС на финансирование территориальной программы ОМС (в расчете на 1 застрахованное лицо) при оказании медицинской помощи медицинскими организациями (за исключением федеральных медицинских организаций) в 2026 году - 25 188,61 рубля, в том числе для оказания медицинской</w:t>
        <w:tab/>
        <w:t>помощи</w:t>
        <w:tab/>
        <w:t>по</w:t>
        <w:tab/>
        <w:t>профилю</w:t>
        <w:tab/>
        <w:t>«медицинская</w:t>
        <w:tab/>
        <w:t>реабилитация»</w:t>
        <w:tab/>
        <w:t>-</w:t>
      </w:r>
    </w:p>
    <w:p>
      <w:pPr>
        <w:pStyle w:val="Style4"/>
        <w:keepNext w:val="0"/>
        <w:keepLines w:val="0"/>
        <w:widowControl w:val="0"/>
        <w:shd w:val="clear" w:color="auto" w:fill="auto"/>
        <w:tabs>
          <w:tab w:pos="1896" w:val="left"/>
          <w:tab w:pos="3168" w:val="left"/>
          <w:tab w:pos="3802" w:val="left"/>
          <w:tab w:pos="5280" w:val="left"/>
          <w:tab w:pos="7253" w:val="left"/>
          <w:tab w:pos="9370" w:val="left"/>
        </w:tabs>
        <w:bidi w:val="0"/>
        <w:spacing w:before="0" w:after="0" w:line="240" w:lineRule="auto"/>
        <w:ind w:left="0" w:right="0" w:firstLine="0"/>
        <w:jc w:val="both"/>
      </w:pPr>
      <w:r>
        <w:rPr>
          <w:color w:val="000000"/>
          <w:spacing w:val="0"/>
          <w:w w:val="100"/>
          <w:position w:val="0"/>
          <w:shd w:val="clear" w:color="auto" w:fill="auto"/>
          <w:lang w:val="ru-RU" w:eastAsia="ru-RU" w:bidi="ru-RU"/>
        </w:rPr>
        <w:t>570,83 рубля, в 2027 году - 27 218,83 рубля, в том числе для оказания медицинской</w:t>
        <w:tab/>
        <w:t>помощи</w:t>
        <w:tab/>
        <w:t>по</w:t>
        <w:tab/>
        <w:t>профилю</w:t>
        <w:tab/>
        <w:t>«медицинская</w:t>
        <w:tab/>
        <w:t>реабилитация»</w:t>
        <w:tab/>
        <w:t>-</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 xml:space="preserve">632,28 рубля, в 2028 году - 29 227,94 рубля, в том числе для оказания </w:t>
      </w:r>
      <w:r>
        <w:rPr>
          <w:color w:val="000000"/>
          <w:spacing w:val="0"/>
          <w:w w:val="100"/>
          <w:position w:val="0"/>
          <w:shd w:val="clear" w:color="auto" w:fill="auto"/>
          <w:lang w:val="ru-RU" w:eastAsia="ru-RU" w:bidi="ru-RU"/>
        </w:rPr>
        <w:t>медицинской помощи по профилю «медицинская реабилитация» - 699,58 рубля.</w:t>
      </w:r>
    </w:p>
    <w:p>
      <w:pPr>
        <w:pStyle w:val="Style4"/>
        <w:keepNext w:val="0"/>
        <w:keepLines w:val="0"/>
        <w:widowControl w:val="0"/>
        <w:numPr>
          <w:ilvl w:val="0"/>
          <w:numId w:val="85"/>
        </w:numPr>
        <w:shd w:val="clear" w:color="auto" w:fill="auto"/>
        <w:tabs>
          <w:tab w:pos="1244" w:val="left"/>
        </w:tabs>
        <w:bidi w:val="0"/>
        <w:spacing w:before="0" w:after="0" w:line="240" w:lineRule="auto"/>
        <w:ind w:left="0" w:right="0" w:firstLine="780"/>
        <w:jc w:val="both"/>
      </w:pPr>
      <w:r>
        <w:rPr>
          <w:color w:val="000000"/>
          <w:spacing w:val="0"/>
          <w:w w:val="100"/>
          <w:position w:val="0"/>
          <w:shd w:val="clear" w:color="auto" w:fill="auto"/>
          <w:lang w:val="ru-RU" w:eastAsia="ru-RU" w:bidi="ru-RU"/>
        </w:rPr>
        <w:t>Подушевые нормативы финансирования за счет бюджетных ассигнований областного бюджета устанавливаются с учетом региональных особенностей и коэффициентов дифференциации и доступности медицинской помощи, рассчитанных в соответствии с постановлением Правительства Российской Федерации от 5 мая 2012 года №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Омской области, в том числе в части заработной платы медицинских работников.</w:t>
      </w:r>
    </w:p>
    <w:p>
      <w:pPr>
        <w:pStyle w:val="Style4"/>
        <w:keepNext w:val="0"/>
        <w:keepLines w:val="0"/>
        <w:widowControl w:val="0"/>
        <w:numPr>
          <w:ilvl w:val="0"/>
          <w:numId w:val="85"/>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Нормативы финансовых затрат на единицу объема медицинской помощи за счет средств ОМС установлены </w:t>
      </w:r>
      <w:r>
        <w:rPr>
          <w:i/>
          <w:iCs/>
          <w:color w:val="000000"/>
          <w:spacing w:val="0"/>
          <w:w w:val="100"/>
          <w:position w:val="0"/>
          <w:shd w:val="clear" w:color="auto" w:fill="auto"/>
          <w:lang w:val="ru-RU" w:eastAsia="ru-RU" w:bidi="ru-RU"/>
        </w:rPr>
        <w:t>с</w:t>
      </w:r>
      <w:r>
        <w:rPr>
          <w:color w:val="000000"/>
          <w:spacing w:val="0"/>
          <w:w w:val="100"/>
          <w:position w:val="0"/>
          <w:shd w:val="clear" w:color="auto" w:fill="auto"/>
          <w:lang w:val="ru-RU" w:eastAsia="ru-RU" w:bidi="ru-RU"/>
        </w:rPr>
        <w:t xml:space="preserve"> учетом в том числе расходов, связанных с использованием:</w:t>
      </w:r>
    </w:p>
    <w:p>
      <w:pPr>
        <w:pStyle w:val="Style4"/>
        <w:keepNext w:val="0"/>
        <w:keepLines w:val="0"/>
        <w:widowControl w:val="0"/>
        <w:numPr>
          <w:ilvl w:val="0"/>
          <w:numId w:val="89"/>
        </w:numPr>
        <w:shd w:val="clear" w:color="auto" w:fill="auto"/>
        <w:tabs>
          <w:tab w:pos="108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врача-терапевта, лечебно-диагностическом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углубленном));</w:t>
      </w:r>
    </w:p>
    <w:p>
      <w:pPr>
        <w:pStyle w:val="Style4"/>
        <w:keepNext w:val="0"/>
        <w:keepLines w:val="0"/>
        <w:widowControl w:val="0"/>
        <w:numPr>
          <w:ilvl w:val="0"/>
          <w:numId w:val="89"/>
        </w:numPr>
        <w:shd w:val="clear" w:color="auto" w:fill="auto"/>
        <w:tabs>
          <w:tab w:pos="108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информационных систем,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w:t>
      </w:r>
    </w:p>
    <w:p>
      <w:pPr>
        <w:pStyle w:val="Style4"/>
        <w:keepNext w:val="0"/>
        <w:keepLines w:val="0"/>
        <w:widowControl w:val="0"/>
        <w:numPr>
          <w:ilvl w:val="0"/>
          <w:numId w:val="91"/>
        </w:numPr>
        <w:shd w:val="clear" w:color="auto" w:fill="auto"/>
        <w:tabs>
          <w:tab w:pos="1182" w:val="left"/>
        </w:tabs>
        <w:bidi w:val="0"/>
        <w:spacing w:before="0" w:after="0" w:line="240" w:lineRule="auto"/>
        <w:ind w:left="0" w:right="0" w:firstLine="720"/>
        <w:jc w:val="both"/>
        <w:sectPr>
          <w:headerReference w:type="default" r:id="rId15"/>
          <w:footnotePr>
            <w:pos w:val="pageBottom"/>
            <w:numFmt w:val="decimal"/>
            <w:numRestart w:val="continuous"/>
          </w:footnotePr>
          <w:pgSz w:w="11900" w:h="16840"/>
          <w:pgMar w:top="1129" w:right="683" w:bottom="1196" w:left="1531" w:header="0" w:footer="768" w:gutter="0"/>
          <w:pgNumType w:start="50"/>
          <w:cols w:space="720"/>
          <w:noEndnote/>
          <w:rtlGutter w:val="0"/>
          <w:docGrid w:linePitch="360"/>
        </w:sectPr>
      </w:pPr>
      <w:r>
        <w:rPr>
          <w:color w:val="000000"/>
          <w:spacing w:val="0"/>
          <w:w w:val="100"/>
          <w:position w:val="0"/>
          <w:shd w:val="clear" w:color="auto" w:fill="auto"/>
          <w:lang w:val="ru-RU" w:eastAsia="ru-RU" w:bidi="ru-RU"/>
        </w:rPr>
        <w:t>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в порядке, утвержденном Министерством здравоохранения Российской Федерации, устанавливаются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фельдшерско-акушерских пунктов (фельдшерских</w:t>
      </w:r>
    </w:p>
    <w:p>
      <w:pPr>
        <w:pStyle w:val="Style4"/>
        <w:keepNext w:val="0"/>
        <w:keepLines w:val="0"/>
        <w:widowControl w:val="0"/>
        <w:shd w:val="clear" w:color="auto" w:fill="auto"/>
        <w:bidi w:val="0"/>
        <w:spacing w:before="0" w:after="0" w:line="276" w:lineRule="auto"/>
        <w:ind w:left="0" w:right="0" w:firstLine="4680"/>
        <w:jc w:val="left"/>
      </w:pPr>
      <w:r>
        <w:rPr>
          <w:color w:val="000000"/>
          <w:spacing w:val="0"/>
          <w:w w:val="100"/>
          <w:position w:val="0"/>
          <w:shd w:val="clear" w:color="auto" w:fill="auto"/>
          <w:lang w:val="ru-RU" w:eastAsia="ru-RU" w:bidi="ru-RU"/>
        </w:rPr>
        <w:t>55 пунктов, фельдшерских здравпунктов), а также маршрутизации пациентов при оказании медицинской помощи.</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 для медицинских организаций, обслуживающих до 20 тыс. человек, - не менее 1,113, для медицинских организаций, обслуживающих свыше 20 тыс. человек, - не менее 1,04.</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гинекология».</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pPr>
        <w:pStyle w:val="Style4"/>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ru-RU" w:eastAsia="ru-RU" w:bidi="ru-RU"/>
        </w:rPr>
        <w:t>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расположенных в крупных городах Омской области.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в системе ОМС Омской области на 2026 год (далее - тарифное соглашение)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pPr>
        <w:pStyle w:val="Style4"/>
        <w:keepNext w:val="0"/>
        <w:keepLines w:val="0"/>
        <w:widowControl w:val="0"/>
        <w:shd w:val="clear" w:color="auto" w:fill="auto"/>
        <w:bidi w:val="0"/>
        <w:spacing w:before="0" w:after="0" w:line="240" w:lineRule="auto"/>
        <w:ind w:left="0" w:right="0" w:firstLine="700"/>
        <w:jc w:val="both"/>
        <w:sectPr>
          <w:headerReference w:type="default" r:id="rId16"/>
          <w:footnotePr>
            <w:pos w:val="pageBottom"/>
            <w:numFmt w:val="decimal"/>
            <w:numRestart w:val="continuous"/>
          </w:footnotePr>
          <w:pgSz w:w="11900" w:h="16840"/>
          <w:pgMar w:top="711" w:right="687" w:bottom="711" w:left="1532" w:header="283" w:footer="283" w:gutter="0"/>
          <w:pgNumType w:start="56"/>
          <w:cols w:space="720"/>
          <w:noEndnote/>
          <w:rtlGutter w:val="0"/>
          <w:docGrid w:linePitch="360"/>
        </w:sectPr>
      </w:pPr>
      <w:r>
        <w:rPr>
          <w:color w:val="000000"/>
          <w:spacing w:val="0"/>
          <w:w w:val="100"/>
          <w:position w:val="0"/>
          <w:shd w:val="clear" w:color="auto" w:fill="auto"/>
          <w:lang w:val="ru-RU" w:eastAsia="ru-RU" w:bidi="ru-RU"/>
        </w:rPr>
        <w:t>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медицинских организациях по направлению врача и оплачиваются в порядке, установленном в соответствии с пунктом 6 части 1 статьи 7 Федерального закона «Об обязательном медицинском страховании в Российской Федерации».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Размер финансового обеспечения фельдшерско-акушерских пунктов (фельдшерских пунктов, фельдшерских здравпунктов)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утверждаемым Министерством здравоохранения Российской Федерации, составляет на 2026 год:</w:t>
      </w:r>
    </w:p>
    <w:p>
      <w:pPr>
        <w:pStyle w:val="Style4"/>
        <w:keepNext w:val="0"/>
        <w:keepLines w:val="0"/>
        <w:widowControl w:val="0"/>
        <w:numPr>
          <w:ilvl w:val="0"/>
          <w:numId w:val="93"/>
        </w:numPr>
        <w:shd w:val="clear" w:color="auto" w:fill="auto"/>
        <w:tabs>
          <w:tab w:pos="106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для фельдшерско-акушерского пункта (фельдшерского пункта, фельдшерского здравпункта), обслуживающего от 101 до 800 человек, - 1 694,7 тыс. рублей;</w:t>
      </w:r>
    </w:p>
    <w:p>
      <w:pPr>
        <w:pStyle w:val="Style4"/>
        <w:keepNext w:val="0"/>
        <w:keepLines w:val="0"/>
        <w:widowControl w:val="0"/>
        <w:numPr>
          <w:ilvl w:val="0"/>
          <w:numId w:val="93"/>
        </w:numPr>
        <w:shd w:val="clear" w:color="auto" w:fill="auto"/>
        <w:tabs>
          <w:tab w:pos="106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для фельдшерско-акушерского пункта (фельдшерского пункта, фельдшерского здравпункта), обслуживающего от 801 до 1500 человек, - 3 389,6 тыс. рублей;</w:t>
      </w:r>
    </w:p>
    <w:p>
      <w:pPr>
        <w:pStyle w:val="Style4"/>
        <w:keepNext w:val="0"/>
        <w:keepLines w:val="0"/>
        <w:widowControl w:val="0"/>
        <w:numPr>
          <w:ilvl w:val="0"/>
          <w:numId w:val="93"/>
        </w:numPr>
        <w:shd w:val="clear" w:color="auto" w:fill="auto"/>
        <w:tabs>
          <w:tab w:pos="106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для фельдшерско-акушерского пункта (фельдшерского пункта, фельдшерского здравпункта), обслуживающего от 1501 до 2000 человек, - 3 389,6 тыс. рублей.</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В случае оказания медицинской помощи в фельдшерско-акушерских пунктах (фельдшерских пунктах, фельдшерских здравпунктах)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фельдшерско-акушерских пунктов (фельдшерских пунктов, фельдшерских здравпунктов)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Размер финансового обеспечения фельдшерско-акушерских пунктов (фельдшерских пунктов, фельдшерских здравпунктов), обслуживающих до 100 человек и более 2000 человек, устанавливается с учетом понижающего или повышающего коэффициента в зависимости от численности населения, обслуживаемого фельдшерско-акушерским пунктом (фельдшерским пунктом, фельдшерским здравпунктом), к размеру финансового обеспечения фельдшерско-акушерского пункта (фельдшерского пункта, фельдшерского здравпункта), обслуживающего от 101 до 800 человек и обслуживающего от 1501 до 2000 человек соответственно.</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При этом размер финансового обеспечения фельдшерско-акушерских пунктов (фельдшерских пунктов, фельдшерских здравпунктов)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Указом Президента Российской Федерации от 7 мая 2012 года № 597 </w:t>
      </w:r>
      <w:r>
        <w:rPr>
          <w:color w:val="000000"/>
          <w:spacing w:val="0"/>
          <w:w w:val="100"/>
          <w:position w:val="0"/>
          <w:shd w:val="clear" w:color="auto" w:fill="auto"/>
          <w:lang w:val="ru-RU" w:eastAsia="ru-RU" w:bidi="ru-RU"/>
        </w:rPr>
        <w:t>«О мероприятиях по реализации государственной социальной политики», и уровнем средней заработной платы в Омской области.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Размер финансового обеспечения медицинской организации, в составе которой имеются фельдшерско-акушерские пункты (фельдшерские пункты, фельдшерские здравпункты), определяется исходя из подушевого норматива финансирования и количества лиц, прикрепленных к ней, а также расходов на фельдшерско-акушерские пункты (фельдшерские пункты, фельдшерские здравпункты) исходя из их количества в составе медицинской организации и размера их финансового обеспечения.</w:t>
      </w:r>
    </w:p>
    <w:p>
      <w:pPr>
        <w:pStyle w:val="Style4"/>
        <w:keepNext w:val="0"/>
        <w:keepLines w:val="0"/>
        <w:widowControl w:val="0"/>
        <w:numPr>
          <w:ilvl w:val="0"/>
          <w:numId w:val="95"/>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Стоимость Программы по источникам финансового обеспечения на 2026 год и на плановый период 2027 и 2028 годов приведена в приложении № 7 к Программе.</w:t>
      </w:r>
    </w:p>
    <w:p>
      <w:pPr>
        <w:pStyle w:val="Style4"/>
        <w:keepNext w:val="0"/>
        <w:keepLines w:val="0"/>
        <w:widowControl w:val="0"/>
        <w:numPr>
          <w:ilvl w:val="0"/>
          <w:numId w:val="95"/>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Стоимость Программы по видам и условиям оказания медицинской помощи за счет бюджетных ассигнований областного бюджета на 2026 год приведена в приложении № 8 к Программе.</w:t>
      </w:r>
    </w:p>
    <w:p>
      <w:pPr>
        <w:pStyle w:val="Style4"/>
        <w:keepNext w:val="0"/>
        <w:keepLines w:val="0"/>
        <w:widowControl w:val="0"/>
        <w:numPr>
          <w:ilvl w:val="0"/>
          <w:numId w:val="95"/>
        </w:numPr>
        <w:shd w:val="clear" w:color="auto" w:fill="auto"/>
        <w:tabs>
          <w:tab w:pos="1177" w:val="left"/>
        </w:tabs>
        <w:bidi w:val="0"/>
        <w:spacing w:before="0" w:after="300" w:line="240" w:lineRule="auto"/>
        <w:ind w:left="0" w:right="0" w:firstLine="720"/>
        <w:jc w:val="both"/>
      </w:pPr>
      <w:r>
        <w:rPr>
          <w:color w:val="000000"/>
          <w:spacing w:val="0"/>
          <w:w w:val="100"/>
          <w:position w:val="0"/>
          <w:shd w:val="clear" w:color="auto" w:fill="auto"/>
          <w:lang w:val="ru-RU" w:eastAsia="ru-RU" w:bidi="ru-RU"/>
        </w:rPr>
        <w:t>Стоимость территориальной программы ОМС по видам и условиям оказания медицинской помощи на 2026 год приведена в приложении № 9 к Программе.</w:t>
      </w:r>
    </w:p>
    <w:p>
      <w:pPr>
        <w:pStyle w:val="Style4"/>
        <w:keepNext w:val="0"/>
        <w:keepLines w:val="0"/>
        <w:widowControl w:val="0"/>
        <w:shd w:val="clear" w:color="auto" w:fill="auto"/>
        <w:bidi w:val="0"/>
        <w:spacing w:before="0" w:after="300" w:line="240" w:lineRule="auto"/>
        <w:ind w:left="0" w:right="0" w:firstLine="0"/>
        <w:jc w:val="center"/>
      </w:pPr>
      <w:r>
        <w:rPr>
          <w:color w:val="000000"/>
          <w:spacing w:val="0"/>
          <w:w w:val="100"/>
          <w:position w:val="0"/>
          <w:shd w:val="clear" w:color="auto" w:fill="auto"/>
          <w:lang w:val="ru-RU" w:eastAsia="ru-RU" w:bidi="ru-RU"/>
        </w:rPr>
        <w:t>VII. Порядок и условия предоставления медицинской помощи, в том числе</w:t>
        <w:br/>
        <w:t>сроки ожидания медицинской помощи, оказываемой</w:t>
        <w:br/>
        <w:t>в плановом порядке</w:t>
      </w:r>
    </w:p>
    <w:p>
      <w:pPr>
        <w:pStyle w:val="Style4"/>
        <w:keepNext w:val="0"/>
        <w:keepLines w:val="0"/>
        <w:widowControl w:val="0"/>
        <w:numPr>
          <w:ilvl w:val="0"/>
          <w:numId w:val="95"/>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В рамках Программы медицинская помощь оказывается в медицинских организациях, участвующих в 2026 году в реализации Программы, в том числе территориальной программы ОМС, по перечню согласно приложению № 10 к Программе.</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Перечень медицинских организаций, подведомственных Министерству здравоохранения Омской области, уполномоченных проводить врачебные комиссии в целях принятия решений о назначении незарегистрированных лекарственных препаратов, определен в приложении № 11 к Программе.</w:t>
      </w:r>
    </w:p>
    <w:p>
      <w:pPr>
        <w:pStyle w:val="Style4"/>
        <w:keepNext w:val="0"/>
        <w:keepLines w:val="0"/>
        <w:widowControl w:val="0"/>
        <w:numPr>
          <w:ilvl w:val="0"/>
          <w:numId w:val="95"/>
        </w:numPr>
        <w:shd w:val="clear" w:color="auto" w:fill="auto"/>
        <w:tabs>
          <w:tab w:pos="1177" w:val="left"/>
        </w:tabs>
        <w:bidi w:val="0"/>
        <w:spacing w:before="0" w:after="300" w:line="240" w:lineRule="auto"/>
        <w:ind w:left="0" w:right="0" w:firstLine="720"/>
        <w:jc w:val="both"/>
        <w:sectPr>
          <w:headerReference w:type="default" r:id="rId17"/>
          <w:footnotePr>
            <w:pos w:val="pageBottom"/>
            <w:numFmt w:val="decimal"/>
            <w:numRestart w:val="continuous"/>
          </w:footnotePr>
          <w:pgSz w:w="11900" w:h="16840"/>
          <w:pgMar w:top="1129" w:right="683" w:bottom="1153" w:left="1530" w:header="0" w:footer="725" w:gutter="0"/>
          <w:pgNumType w:start="56"/>
          <w:cols w:space="720"/>
          <w:noEndnote/>
          <w:rtlGutter w:val="0"/>
          <w:docGrid w:linePitch="360"/>
        </w:sectPr>
      </w:pPr>
      <w:r>
        <w:rPr>
          <w:color w:val="000000"/>
          <w:spacing w:val="0"/>
          <w:w w:val="100"/>
          <w:position w:val="0"/>
          <w:shd w:val="clear" w:color="auto" w:fill="auto"/>
          <w:lang w:val="ru-RU" w:eastAsia="ru-RU" w:bidi="ru-RU"/>
        </w:rPr>
        <w:t>При оказании первичной медико-санитарной помощи в плановой форме выбор врача-терапевта, врача-терапевта участкового, врача-педиатра, врача-педиатра участкового, врача общей практики (семейного врача) или фельдшера (далее - врачи первичного звена) осуществляется гражданином, достигшим совершеннолетия либо приобретшим дееспособность в полном объеме до достижения совершеннолетия (для ребенка до достижения им совершеннолетия либо до приобретения им дееспособности в полном объеме до достижения совершеннолетия - его родителями или другими законными представителями), из числа врачей первичного звена, перечень которых ему предоставляется при выборе медицинской организации в порядке, утвержденном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w:t>
      </w:r>
    </w:p>
    <w:p>
      <w:pPr>
        <w:pStyle w:val="Style4"/>
        <w:keepNext w:val="0"/>
        <w:keepLines w:val="0"/>
        <w:widowControl w:val="0"/>
        <w:shd w:val="clear" w:color="auto" w:fill="auto"/>
        <w:bidi w:val="0"/>
        <w:spacing w:before="0" w:after="0" w:line="276" w:lineRule="auto"/>
        <w:ind w:left="0" w:right="0" w:firstLine="4680"/>
        <w:jc w:val="both"/>
      </w:pPr>
      <w:r>
        <w:rPr>
          <w:color w:val="000000"/>
          <w:spacing w:val="0"/>
          <w:w w:val="100"/>
          <w:position w:val="0"/>
          <w:shd w:val="clear" w:color="auto" w:fill="auto"/>
          <w:lang w:val="ru-RU" w:eastAsia="ru-RU" w:bidi="ru-RU"/>
        </w:rPr>
        <w:t>58 с учетом их согласия не чаще чем один раз в год (за исключением случаев замены медицинской организации).</w:t>
      </w:r>
    </w:p>
    <w:p>
      <w:pPr>
        <w:pStyle w:val="Style4"/>
        <w:keepNext w:val="0"/>
        <w:keepLines w:val="0"/>
        <w:widowControl w:val="0"/>
        <w:numPr>
          <w:ilvl w:val="0"/>
          <w:numId w:val="95"/>
        </w:numPr>
        <w:shd w:val="clear" w:color="auto" w:fill="auto"/>
        <w:tabs>
          <w:tab w:pos="118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При оказании специализированной, в том числе высокотехнологичной, медицинской помощи в плановой форме выбор врача осуществляется гражданином, достигшим совершеннолетия либо приобретшим дееспособность в полном объеме до достижения совершеннолетия (для ребенка до достижения им совершеннолетия либо до приобретения им дееспособности в полном объеме до достижения совершеннолетия - его родителями или другими законными представителями), из числа врачей-специалистов медицинской организации, оказывающей специализированную, в том числе высокотехнологичную, медицинскую помощь, выбранной им в порядке, утвержденном уполномоченным федеральным органом исполнительной власти, с учетом согласия врача. Лечащий врач, назначенный пациенту руководителем медицинской организации (подразделения медицинской организации), может быть заменен по требованию пациента.</w:t>
      </w:r>
    </w:p>
    <w:p>
      <w:pPr>
        <w:pStyle w:val="Style4"/>
        <w:keepNext w:val="0"/>
        <w:keepLines w:val="0"/>
        <w:widowControl w:val="0"/>
        <w:numPr>
          <w:ilvl w:val="0"/>
          <w:numId w:val="95"/>
        </w:numPr>
        <w:shd w:val="clear" w:color="auto" w:fill="auto"/>
        <w:tabs>
          <w:tab w:pos="118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При отсутствии волеизъявления гражданина о выборе врача первичного звена при оказании первичной медико-санитарной помощи в плановой форме прикрепление гражданина к врачам первичного звена осуществляется руководителем медицинской организации </w:t>
      </w:r>
      <w:r>
        <w:rPr>
          <w:i/>
          <w:iCs/>
          <w:color w:val="000000"/>
          <w:spacing w:val="0"/>
          <w:w w:val="100"/>
          <w:position w:val="0"/>
          <w:shd w:val="clear" w:color="auto" w:fill="auto"/>
          <w:lang w:val="ru-RU" w:eastAsia="ru-RU" w:bidi="ru-RU"/>
        </w:rPr>
        <w:t>с</w:t>
      </w:r>
      <w:r>
        <w:rPr>
          <w:color w:val="000000"/>
          <w:spacing w:val="0"/>
          <w:w w:val="100"/>
          <w:position w:val="0"/>
          <w:shd w:val="clear" w:color="auto" w:fill="auto"/>
          <w:lang w:val="ru-RU" w:eastAsia="ru-RU" w:bidi="ru-RU"/>
        </w:rPr>
        <w:t xml:space="preserve"> учетом рекомендуемой численности прикрепленного населения на врачебных участках, фельдшерских участках.</w:t>
      </w:r>
    </w:p>
    <w:p>
      <w:pPr>
        <w:pStyle w:val="Style4"/>
        <w:keepNext w:val="0"/>
        <w:keepLines w:val="0"/>
        <w:widowControl w:val="0"/>
        <w:numPr>
          <w:ilvl w:val="0"/>
          <w:numId w:val="95"/>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При отсутствии волеизъявления гражданина о выборе врача при оказании специализированной, в том числе высокотехнологичной, медицинской помощи в плановой форме прикрепление гражданина к лечащему врачу осуществляет руководитель соответствующего структурного подразделения медицинской организации, в которой гражданину оказывается специализированная, в том числе высокотехнологичная, медицинская помощь.</w:t>
      </w:r>
    </w:p>
    <w:p>
      <w:pPr>
        <w:pStyle w:val="Style4"/>
        <w:keepNext w:val="0"/>
        <w:keepLines w:val="0"/>
        <w:widowControl w:val="0"/>
        <w:numPr>
          <w:ilvl w:val="0"/>
          <w:numId w:val="95"/>
        </w:numPr>
        <w:shd w:val="clear" w:color="auto" w:fill="auto"/>
        <w:tabs>
          <w:tab w:pos="118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При невозможности оказания первичной медико-санитарной помощи в соответствии с порядками оказания медицинской помощи, клиническими рекомендациями и с учетом стандартов медицинской помощи, предоставляемой бесплатно в рамках Программы, в медицинской организации, в которой находится на медицинском обслуживании гражданин, медицинская помощь оказывается в соответствии с Программой в других медицинских организациях по направлению лечащего врача в соответствии с заключенными между ними договорами.</w:t>
      </w:r>
    </w:p>
    <w:p>
      <w:pPr>
        <w:pStyle w:val="Style4"/>
        <w:keepNext w:val="0"/>
        <w:keepLines w:val="0"/>
        <w:widowControl w:val="0"/>
        <w:numPr>
          <w:ilvl w:val="0"/>
          <w:numId w:val="95"/>
        </w:numPr>
        <w:shd w:val="clear" w:color="auto" w:fill="auto"/>
        <w:tabs>
          <w:tab w:pos="118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Медицинская помощь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 предоставляется в порядке, определяемом Министерством здравоохранения Омской области.</w:t>
      </w:r>
    </w:p>
    <w:p>
      <w:pPr>
        <w:pStyle w:val="Style4"/>
        <w:keepNext w:val="0"/>
        <w:keepLines w:val="0"/>
        <w:widowControl w:val="0"/>
        <w:numPr>
          <w:ilvl w:val="0"/>
          <w:numId w:val="95"/>
        </w:numPr>
        <w:shd w:val="clear" w:color="auto" w:fill="auto"/>
        <w:tabs>
          <w:tab w:pos="1177" w:val="left"/>
        </w:tabs>
        <w:bidi w:val="0"/>
        <w:spacing w:before="0" w:after="0" w:line="240" w:lineRule="auto"/>
        <w:ind w:left="0" w:right="0" w:firstLine="720"/>
        <w:jc w:val="both"/>
        <w:sectPr>
          <w:headerReference w:type="default" r:id="rId18"/>
          <w:footnotePr>
            <w:pos w:val="pageBottom"/>
            <w:numFmt w:val="decimal"/>
            <w:numRestart w:val="continuous"/>
          </w:footnotePr>
          <w:pgSz w:w="11900" w:h="16840"/>
          <w:pgMar w:top="711" w:right="687" w:bottom="711" w:left="1532" w:header="283" w:footer="283" w:gutter="0"/>
          <w:pgNumType w:start="59"/>
          <w:cols w:space="720"/>
          <w:noEndnote/>
          <w:rtlGutter w:val="0"/>
          <w:docGrid w:linePitch="360"/>
        </w:sectPr>
      </w:pPr>
      <w:r>
        <w:rPr>
          <w:color w:val="000000"/>
          <w:spacing w:val="0"/>
          <w:w w:val="100"/>
          <w:position w:val="0"/>
          <w:shd w:val="clear" w:color="auto" w:fill="auto"/>
          <w:lang w:val="ru-RU" w:eastAsia="ru-RU" w:bidi="ru-RU"/>
        </w:rPr>
        <w:t>Назначение лечения, в том числе виды и объемы обследований, осуществляется лечащим врачом в соответствии с порядками оказания медицинской помощи, клиническими рекомендациями и с учетом стандартов медицинской помощи, а в случаях, установленных федеральным законодательством, - консилиумом врачей, врачебной комиссией.</w:t>
      </w:r>
    </w:p>
    <w:p>
      <w:pPr>
        <w:pStyle w:val="Style4"/>
        <w:keepNext w:val="0"/>
        <w:keepLines w:val="0"/>
        <w:widowControl w:val="0"/>
        <w:numPr>
          <w:ilvl w:val="0"/>
          <w:numId w:val="95"/>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При оказании медицинской помощи в плановой форме устанавливаются следующие сроки ожидания:</w:t>
      </w:r>
    </w:p>
    <w:p>
      <w:pPr>
        <w:pStyle w:val="Style4"/>
        <w:keepNext w:val="0"/>
        <w:keepLines w:val="0"/>
        <w:widowControl w:val="0"/>
        <w:numPr>
          <w:ilvl w:val="0"/>
          <w:numId w:val="97"/>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в амбулаторных условиях прием гражданина, посещение его на дому врачом первичного звена и иными медицинскими работниками со средним медицинским образованием - не более 24 часов с момента обращения гражданина в медицинскую организацию, оказывающую медицинскую помощь в амбулаторных условиях;</w:t>
      </w:r>
    </w:p>
    <w:p>
      <w:pPr>
        <w:pStyle w:val="Style4"/>
        <w:keepNext w:val="0"/>
        <w:keepLines w:val="0"/>
        <w:widowControl w:val="0"/>
        <w:numPr>
          <w:ilvl w:val="0"/>
          <w:numId w:val="97"/>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проведение консультаций врачей-специалистов (за исключением подозрения на онкологическое заболевание и сердечно-сосудистое заболевание) при оказании первичной специализированной медико-санитарной помощи - не более 14 рабочих дней со дня обращения гражданина в медицинскую организацию, в которой ведут прием соответствующие врачи- специалисты;</w:t>
      </w:r>
    </w:p>
    <w:p>
      <w:pPr>
        <w:pStyle w:val="Style4"/>
        <w:keepNext w:val="0"/>
        <w:keepLines w:val="0"/>
        <w:widowControl w:val="0"/>
        <w:numPr>
          <w:ilvl w:val="0"/>
          <w:numId w:val="97"/>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проведение консультаций врачей-специалистов в случае подозрения на онкологическое заболевание и сердечно-сосудистое заболевание - не более 3 рабочих дней с момента подозрения на онкологическое заболевание и сердечно-сосудистое заболевание;</w:t>
      </w:r>
    </w:p>
    <w:p>
      <w:pPr>
        <w:pStyle w:val="Style4"/>
        <w:keepNext w:val="0"/>
        <w:keepLines w:val="0"/>
        <w:widowControl w:val="0"/>
        <w:numPr>
          <w:ilvl w:val="0"/>
          <w:numId w:val="97"/>
        </w:numPr>
        <w:shd w:val="clear" w:color="auto" w:fill="auto"/>
        <w:tabs>
          <w:tab w:pos="107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проведение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 не более 14 рабочих дней со дня назначения исследований (за исключением исследований при подозрении на онкологическое заболевание и сердечно-сосудистое заболевание);</w:t>
      </w:r>
    </w:p>
    <w:p>
      <w:pPr>
        <w:pStyle w:val="Style4"/>
        <w:keepNext w:val="0"/>
        <w:keepLines w:val="0"/>
        <w:widowControl w:val="0"/>
        <w:numPr>
          <w:ilvl w:val="0"/>
          <w:numId w:val="97"/>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проведение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и сердечно-сосудистое заболевание) - не более 14 рабочих дней со дня назначения;</w:t>
      </w:r>
    </w:p>
    <w:p>
      <w:pPr>
        <w:pStyle w:val="Style4"/>
        <w:keepNext w:val="0"/>
        <w:keepLines w:val="0"/>
        <w:widowControl w:val="0"/>
        <w:numPr>
          <w:ilvl w:val="0"/>
          <w:numId w:val="97"/>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проведение диагностических инструментальных и лабораторных исследований в случае подозрения на онкологическое заболевание и сердечно</w:t>
        <w:softHyphen/>
        <w:t>сосудистое заболевание - не более 7 рабочих дней со дня назначения исследований;</w:t>
      </w:r>
    </w:p>
    <w:p>
      <w:pPr>
        <w:pStyle w:val="Style4"/>
        <w:keepNext w:val="0"/>
        <w:keepLines w:val="0"/>
        <w:widowControl w:val="0"/>
        <w:numPr>
          <w:ilvl w:val="0"/>
          <w:numId w:val="97"/>
        </w:numPr>
        <w:shd w:val="clear" w:color="auto" w:fill="auto"/>
        <w:tabs>
          <w:tab w:pos="106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установление диспансерного наблюдения врача-онколога за пациентом с выявленным онкологическим заболеванием - не более 3 рабочих дней со дня постановки диагноза онкологического заболевания;</w:t>
      </w:r>
    </w:p>
    <w:p>
      <w:pPr>
        <w:pStyle w:val="Style4"/>
        <w:keepNext w:val="0"/>
        <w:keepLines w:val="0"/>
        <w:widowControl w:val="0"/>
        <w:numPr>
          <w:ilvl w:val="0"/>
          <w:numId w:val="97"/>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оказание первичной медико-санитарной помощи, паллиативной медицинской помощи в условиях дневного стационара по медицинским показаниям согласно направлению лечащего врача - не более 14 календарных дней со дня обращения гражданина в медицинскую организацию, оказывающую медицинскую помощь в условиях дневного стационара;</w:t>
      </w:r>
    </w:p>
    <w:p>
      <w:pPr>
        <w:pStyle w:val="Style4"/>
        <w:keepNext w:val="0"/>
        <w:keepLines w:val="0"/>
        <w:widowControl w:val="0"/>
        <w:numPr>
          <w:ilvl w:val="0"/>
          <w:numId w:val="97"/>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оказание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 не более 14 рабочих дней со дня выдачи лечащим врачом направления на госпитализацию (при условии </w:t>
      </w:r>
      <w:r>
        <w:rPr>
          <w:color w:val="000000"/>
          <w:spacing w:val="0"/>
          <w:w w:val="100"/>
          <w:position w:val="0"/>
          <w:shd w:val="clear" w:color="auto" w:fill="auto"/>
          <w:lang w:val="ru-RU" w:eastAsia="ru-RU" w:bidi="ru-RU"/>
        </w:rPr>
        <w:t>обращения пациента за госпитализацией в рекомендуемые лечащим врачом сроки), а для пациентов с онкологическими заболеваниями и сердечно</w:t>
        <w:softHyphen/>
        <w:t>сосудистыми заболеваниями - не более 7 рабочих дней со дня гистологической верификации опухоли или со дня установления предварительного диагноза заболевания (состояния);</w:t>
      </w:r>
    </w:p>
    <w:p>
      <w:pPr>
        <w:pStyle w:val="Style4"/>
        <w:keepNext w:val="0"/>
        <w:keepLines w:val="0"/>
        <w:widowControl w:val="0"/>
        <w:numPr>
          <w:ilvl w:val="0"/>
          <w:numId w:val="97"/>
        </w:numPr>
        <w:shd w:val="clear" w:color="auto" w:fill="auto"/>
        <w:tabs>
          <w:tab w:pos="1210"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оказание паллиативной медицинской помощи в стационарных условиях - не более 14 календарных дней со дня выдачи лечащим врачом направления на госпитализацию (при условии обращения пациента за госпитализацией в рекомендуемые лечащим врачом сроки).</w:t>
      </w:r>
    </w:p>
    <w:p>
      <w:pPr>
        <w:pStyle w:val="Style4"/>
        <w:keepNext w:val="0"/>
        <w:keepLines w:val="0"/>
        <w:widowControl w:val="0"/>
        <w:numPr>
          <w:ilvl w:val="0"/>
          <w:numId w:val="99"/>
        </w:numPr>
        <w:shd w:val="clear" w:color="auto" w:fill="auto"/>
        <w:tabs>
          <w:tab w:pos="118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пунктом 80 Программы.</w:t>
      </w:r>
    </w:p>
    <w:p>
      <w:pPr>
        <w:pStyle w:val="Style4"/>
        <w:keepNext w:val="0"/>
        <w:keepLines w:val="0"/>
        <w:widowControl w:val="0"/>
        <w:numPr>
          <w:ilvl w:val="0"/>
          <w:numId w:val="99"/>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pPr>
        <w:pStyle w:val="Style4"/>
        <w:keepNext w:val="0"/>
        <w:keepLines w:val="0"/>
        <w:widowControl w:val="0"/>
        <w:numPr>
          <w:ilvl w:val="0"/>
          <w:numId w:val="99"/>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Срок ожидания оказания первичной медико-санитарной помощи в неотложной форме не должен превышать 2 часов с момента обращения гражданина в медицинскую организацию.</w:t>
      </w:r>
    </w:p>
    <w:p>
      <w:pPr>
        <w:pStyle w:val="Style4"/>
        <w:keepNext w:val="0"/>
        <w:keepLines w:val="0"/>
        <w:widowControl w:val="0"/>
        <w:numPr>
          <w:ilvl w:val="0"/>
          <w:numId w:val="99"/>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С учетом транспортной доступности время доезда бригад скорой медицинской помощи при оказании скорой медицинской помощи в экстренной форме до пациента, находящегося в сельской местности, составляет не более 60 минут с момента ее вызова.</w:t>
      </w:r>
    </w:p>
    <w:p>
      <w:pPr>
        <w:pStyle w:val="Style4"/>
        <w:keepNext w:val="0"/>
        <w:keepLines w:val="0"/>
        <w:widowControl w:val="0"/>
        <w:numPr>
          <w:ilvl w:val="0"/>
          <w:numId w:val="99"/>
        </w:numPr>
        <w:shd w:val="clear" w:color="auto" w:fill="auto"/>
        <w:tabs>
          <w:tab w:pos="118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Право внеочередного оказания медицинской помощи отдельным категориям граждан, включая ветеранов боевых действий и членов семей участников специальной военной операции, установленное законодательством Российской Федерации и законодательством Омской области, реализуется в медицинских организациях, находящихся на территории Омской области, на основании документа, подтверждающего принадлежность гражданина к указанной категории граждан, при наличии медицинских показаний.</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Внеочередное оказание медицинской помощи отдельным категориям граждан в плановой форме предусматривает сокращение сроков ожидания медицинской помощи, установленных Программой, которые составляют:</w:t>
      </w:r>
    </w:p>
    <w:p>
      <w:pPr>
        <w:pStyle w:val="Style4"/>
        <w:keepNext w:val="0"/>
        <w:keepLines w:val="0"/>
        <w:widowControl w:val="0"/>
        <w:numPr>
          <w:ilvl w:val="0"/>
          <w:numId w:val="101"/>
        </w:numPr>
        <w:shd w:val="clear" w:color="auto" w:fill="auto"/>
        <w:tabs>
          <w:tab w:pos="1123" w:val="left"/>
        </w:tabs>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проведение консультаций врачей-специалистов (за исключением подозрения на онкологическое заболевание и сердечно-сосудистое заболевание) при оказании первичной специализированной медико-санитарной </w:t>
      </w:r>
      <w:r>
        <w:rPr>
          <w:color w:val="000000"/>
          <w:spacing w:val="0"/>
          <w:w w:val="100"/>
          <w:position w:val="0"/>
          <w:shd w:val="clear" w:color="auto" w:fill="auto"/>
          <w:lang w:val="ru-RU" w:eastAsia="ru-RU" w:bidi="ru-RU"/>
        </w:rPr>
        <w:t>помощи - не более 7 рабочих дней со дня обращения гражданина в медицинскую организацию, в которой ведут прием соответствующие врачи- специалисты;</w:t>
      </w:r>
    </w:p>
    <w:p>
      <w:pPr>
        <w:pStyle w:val="Style4"/>
        <w:keepNext w:val="0"/>
        <w:keepLines w:val="0"/>
        <w:widowControl w:val="0"/>
        <w:numPr>
          <w:ilvl w:val="0"/>
          <w:numId w:val="101"/>
        </w:numPr>
        <w:shd w:val="clear" w:color="auto" w:fill="auto"/>
        <w:tabs>
          <w:tab w:pos="1073"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проведение диагностических инструментальных, лабораторных исследований при оказании первичной медико-санитарной помощи - не более 7 рабочих дней со дня назначения исследований;</w:t>
      </w:r>
    </w:p>
    <w:p>
      <w:pPr>
        <w:pStyle w:val="Style4"/>
        <w:keepNext w:val="0"/>
        <w:keepLines w:val="0"/>
        <w:widowControl w:val="0"/>
        <w:numPr>
          <w:ilvl w:val="0"/>
          <w:numId w:val="101"/>
        </w:numPr>
        <w:shd w:val="clear" w:color="auto" w:fill="auto"/>
        <w:tabs>
          <w:tab w:pos="1073"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оказание медицинской помощи в условиях дневного стационара по медицинским показаниям согласно направлению лечащего врача - не более 7 рабочих дней с даты обращения гражданина в медицинскую организацию, оказывающую медицинскую помощь в условиях дневного стационара;</w:t>
      </w:r>
    </w:p>
    <w:p>
      <w:pPr>
        <w:pStyle w:val="Style4"/>
        <w:keepNext w:val="0"/>
        <w:keepLines w:val="0"/>
        <w:widowControl w:val="0"/>
        <w:numPr>
          <w:ilvl w:val="0"/>
          <w:numId w:val="101"/>
        </w:numPr>
        <w:shd w:val="clear" w:color="auto" w:fill="auto"/>
        <w:tabs>
          <w:tab w:pos="1073"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оказание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 не более 7 календарных дней со дня выдачи лечащим врачом направления на госпитализацию (при условии обращения пациента за госпитализацией в рекомендуемые лечащим врачом сроки).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В случае обращения одновременно нескольких граждан, имеющих право на внеочередное оказание медицинской помощи, медицинская помощь в плановой форме оказывается им исходя из очередности обращений таких граждан.</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Реализация установленного законодательством Российской Федерации права внеочередного оказания медицинской помощи ветеранам боевых действий в медицинских организациях, находящихся на территории Омской области, осуществляется в соответствии с распоряжением Министерства здравоохранения Омской области от И июля 2023 года № 359-р «Об организации оказания медицинской помощи ветеранам боевых действий».</w:t>
      </w:r>
    </w:p>
    <w:p>
      <w:pPr>
        <w:pStyle w:val="Style4"/>
        <w:keepNext w:val="0"/>
        <w:keepLines w:val="0"/>
        <w:widowControl w:val="0"/>
        <w:numPr>
          <w:ilvl w:val="0"/>
          <w:numId w:val="103"/>
        </w:numPr>
        <w:shd w:val="clear" w:color="auto" w:fill="auto"/>
        <w:tabs>
          <w:tab w:pos="118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При оказании в рамках Программы первичной медико-санитарной помощи и паллиативной медицинской помощи в амбулаторных условиях в плановой форме отдельные группы граждан и лица, страдающие отдельными категориями заболеваний, в соответствии с законодательством Российской Федерации и законодательством Омской области обеспечиваются по медицинским показаниям с учетом стандартов медицинской помощи лекарственными препаратами и медицинскими изделиями по рецептам врачей бесплатно или с пятидесятипроцентной скидкой со свободных цен в соответствии с Перечнем лекарственных препаратов.</w:t>
      </w:r>
    </w:p>
    <w:p>
      <w:pPr>
        <w:pStyle w:val="Style4"/>
        <w:keepNext w:val="0"/>
        <w:keepLines w:val="0"/>
        <w:widowControl w:val="0"/>
        <w:numPr>
          <w:ilvl w:val="0"/>
          <w:numId w:val="103"/>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При оказании первичной специализированной медико-санитарной помощи в условиях дневного стационара, специализированной, в том числе высокотехнологичной, медицинской помощи в стационарных условиях и условиях дневного стационара, паллиативной медицинской помощи в стационарных условиях и условиях дневного стационара во всех формах в медицинских организациях в рамках Программы граждане обеспечиваются по медицинским показаниям и с учетом стандартов медицинской помощи донорской кровью и (или) ее компонентами.</w:t>
      </w:r>
    </w:p>
    <w:p>
      <w:pPr>
        <w:pStyle w:val="Style4"/>
        <w:keepNext w:val="0"/>
        <w:keepLines w:val="0"/>
        <w:widowControl w:val="0"/>
        <w:numPr>
          <w:ilvl w:val="0"/>
          <w:numId w:val="103"/>
        </w:numPr>
        <w:shd w:val="clear" w:color="auto" w:fill="auto"/>
        <w:tabs>
          <w:tab w:pos="117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В рамках Программы по медицинским показаниям и с учетом стандартов медицинской помощи осуществляется обеспечение граждан при </w:t>
      </w:r>
      <w:r>
        <w:rPr>
          <w:color w:val="000000"/>
          <w:spacing w:val="0"/>
          <w:w w:val="100"/>
          <w:position w:val="0"/>
          <w:shd w:val="clear" w:color="auto" w:fill="auto"/>
          <w:lang w:val="ru-RU" w:eastAsia="ru-RU" w:bidi="ru-RU"/>
        </w:rPr>
        <w:t>оказании специализированной, в том числе высокотехнологичной, медицинской помощи и паллиативной медицинской помощи в стационарных условиях во всех формах лечебным питанием по назначению врача по нормам, утвержденным уполномоченным федеральным органом исполнительной власти, а также обеспечение отдельных категорий граждан в соответствии с законодательством Российской Федерации при оказании первичной медико- санитарной помощи в амбулаторных условиях во всех формах специализированными продуктами лечебного питания, за исключением лечебного питания, в том числе специализированных продуктов лечебного питания, по желанию пациента.</w:t>
      </w:r>
    </w:p>
    <w:p>
      <w:pPr>
        <w:pStyle w:val="Style4"/>
        <w:keepNext w:val="0"/>
        <w:keepLines w:val="0"/>
        <w:widowControl w:val="0"/>
        <w:numPr>
          <w:ilvl w:val="0"/>
          <w:numId w:val="103"/>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Обеспечение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 осуществляется в порядке согласно приложению № 12 к Программе.</w:t>
      </w:r>
    </w:p>
    <w:p>
      <w:pPr>
        <w:pStyle w:val="Style4"/>
        <w:keepNext w:val="0"/>
        <w:keepLines w:val="0"/>
        <w:widowControl w:val="0"/>
        <w:numPr>
          <w:ilvl w:val="0"/>
          <w:numId w:val="103"/>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В рамках Программы в соответствии с законодательством Российской Федерации в медицинских организациях, подведомственных Министерству здравоохранения Омской области, осуществляются следующие мероприятия по профилактике заболеваний и формированию здорового образа жизни:</w:t>
      </w:r>
    </w:p>
    <w:p>
      <w:pPr>
        <w:pStyle w:val="Style4"/>
        <w:keepNext w:val="0"/>
        <w:keepLines w:val="0"/>
        <w:widowControl w:val="0"/>
        <w:numPr>
          <w:ilvl w:val="0"/>
          <w:numId w:val="105"/>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проведение профилактических прививок, включенных в национальный календарь профилактических прививок и календарь профилактических прививок по эпидемическим показаниям;</w:t>
      </w:r>
    </w:p>
    <w:p>
      <w:pPr>
        <w:pStyle w:val="Style4"/>
        <w:keepNext w:val="0"/>
        <w:keepLines w:val="0"/>
        <w:widowControl w:val="0"/>
        <w:numPr>
          <w:ilvl w:val="0"/>
          <w:numId w:val="105"/>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диспансерное наблюдение граждан, страдающих социально значимыми заболеваниями, и граждан, страдающих заболеваниями, представляющими опасность для окружающих, а также граждан, страдающих хроническими заболеваниями, функциональными расстройствами и иными состояниями;</w:t>
      </w:r>
    </w:p>
    <w:p>
      <w:pPr>
        <w:pStyle w:val="Style4"/>
        <w:keepNext w:val="0"/>
        <w:keepLines w:val="0"/>
        <w:widowControl w:val="0"/>
        <w:numPr>
          <w:ilvl w:val="0"/>
          <w:numId w:val="105"/>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проведение профилактических медицинских осмотров, в том числе в рамках диспансеризации, не реже 1 раза в год;</w:t>
      </w:r>
    </w:p>
    <w:p>
      <w:pPr>
        <w:pStyle w:val="Style4"/>
        <w:keepNext w:val="0"/>
        <w:keepLines w:val="0"/>
        <w:widowControl w:val="0"/>
        <w:numPr>
          <w:ilvl w:val="0"/>
          <w:numId w:val="105"/>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диспансерное наблюдение женщин в период беременности и послеродовой период;</w:t>
      </w:r>
    </w:p>
    <w:p>
      <w:pPr>
        <w:pStyle w:val="Style4"/>
        <w:keepNext w:val="0"/>
        <w:keepLines w:val="0"/>
        <w:widowControl w:val="0"/>
        <w:numPr>
          <w:ilvl w:val="0"/>
          <w:numId w:val="105"/>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проведение патронажа в период беременности женщин, находящихся в трудной жизненной ситуации;</w:t>
      </w:r>
    </w:p>
    <w:p>
      <w:pPr>
        <w:pStyle w:val="Style4"/>
        <w:keepNext w:val="0"/>
        <w:keepLines w:val="0"/>
        <w:widowControl w:val="0"/>
        <w:numPr>
          <w:ilvl w:val="0"/>
          <w:numId w:val="105"/>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оказание консультативной, психологической и медико-социальной помощи женщинам в период беременности и послеродовой период;</w:t>
      </w:r>
    </w:p>
    <w:p>
      <w:pPr>
        <w:pStyle w:val="Style4"/>
        <w:keepNext w:val="0"/>
        <w:keepLines w:val="0"/>
        <w:widowControl w:val="0"/>
        <w:numPr>
          <w:ilvl w:val="0"/>
          <w:numId w:val="105"/>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диспансерное наблюдение детей с хроническими заболеваниями и детей-инвалидов;</w:t>
      </w:r>
    </w:p>
    <w:p>
      <w:pPr>
        <w:pStyle w:val="Style4"/>
        <w:keepNext w:val="0"/>
        <w:keepLines w:val="0"/>
        <w:widowControl w:val="0"/>
        <w:numPr>
          <w:ilvl w:val="0"/>
          <w:numId w:val="105"/>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оказание консультативной помощи несовершеннолетним, направленной на сохранение и укрепление репродуктивного здоровья;</w:t>
      </w:r>
    </w:p>
    <w:p>
      <w:pPr>
        <w:pStyle w:val="Style4"/>
        <w:keepNext w:val="0"/>
        <w:keepLines w:val="0"/>
        <w:widowControl w:val="0"/>
        <w:numPr>
          <w:ilvl w:val="0"/>
          <w:numId w:val="105"/>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профилактические мероприятия в целях выявления туберкулеза, сахарного диабета, артериальной гипертензии, злокачественных новообразований, сифилиса, болезни, вызванной вирусом иммунодефицита человека (ВИЧ), гепатита С;</w:t>
      </w:r>
    </w:p>
    <w:p>
      <w:pPr>
        <w:pStyle w:val="Style4"/>
        <w:keepNext w:val="0"/>
        <w:keepLines w:val="0"/>
        <w:widowControl w:val="0"/>
        <w:numPr>
          <w:ilvl w:val="0"/>
          <w:numId w:val="105"/>
        </w:numPr>
        <w:shd w:val="clear" w:color="auto" w:fill="auto"/>
        <w:tabs>
          <w:tab w:pos="1013" w:val="left"/>
        </w:tabs>
        <w:bidi w:val="0"/>
        <w:spacing w:before="0" w:after="0" w:line="240" w:lineRule="auto"/>
        <w:ind w:left="0" w:right="0" w:firstLine="700"/>
        <w:jc w:val="both"/>
      </w:pPr>
      <w:r>
        <w:rPr>
          <w:color w:val="000000"/>
          <w:spacing w:val="0"/>
          <w:w w:val="100"/>
          <w:position w:val="0"/>
          <w:shd w:val="clear" w:color="auto" w:fill="auto"/>
          <w:lang w:val="ru-RU" w:eastAsia="ru-RU" w:bidi="ru-RU"/>
        </w:rPr>
        <w:t xml:space="preserve">комплексное обследование (1 раз в год), диспансерное наблюдение </w:t>
      </w:r>
      <w:r>
        <w:rPr>
          <w:color w:val="000000"/>
          <w:spacing w:val="0"/>
          <w:w w:val="100"/>
          <w:position w:val="0"/>
          <w:shd w:val="clear" w:color="auto" w:fill="auto"/>
          <w:lang w:val="ru-RU" w:eastAsia="ru-RU" w:bidi="ru-RU"/>
        </w:rPr>
        <w:t>граждан в центрах здоровья;</w:t>
      </w:r>
    </w:p>
    <w:p>
      <w:pPr>
        <w:pStyle w:val="Style4"/>
        <w:keepNext w:val="0"/>
        <w:keepLines w:val="0"/>
        <w:widowControl w:val="0"/>
        <w:numPr>
          <w:ilvl w:val="0"/>
          <w:numId w:val="105"/>
        </w:numPr>
        <w:shd w:val="clear" w:color="auto" w:fill="auto"/>
        <w:tabs>
          <w:tab w:pos="1210"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индивидуальное консультирование граждан по вопросам ведения здорового образа жизни, включая рекомендации по рациональному питанию, двигательной активности, занятиям физической культурой и спортом, режиму сна, условиям быта, труда (учебы) и отдыха, психогигиене и управлению стрессом, профилактике факторов риска развития неинфекционных заболеваний, ответственному отношению к своему здоровью и здоровью членов своей семьи, принципам ответственного родительства в центрах здоровья.</w:t>
      </w:r>
    </w:p>
    <w:p>
      <w:pPr>
        <w:pStyle w:val="Style4"/>
        <w:keepNext w:val="0"/>
        <w:keepLines w:val="0"/>
        <w:widowControl w:val="0"/>
        <w:numPr>
          <w:ilvl w:val="0"/>
          <w:numId w:val="107"/>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Меры по профилактике распространения ВИЧ-инфекции и гепатита С включают в себя:</w:t>
      </w:r>
    </w:p>
    <w:p>
      <w:pPr>
        <w:pStyle w:val="Style4"/>
        <w:keepNext w:val="0"/>
        <w:keepLines w:val="0"/>
        <w:widowControl w:val="0"/>
        <w:numPr>
          <w:ilvl w:val="0"/>
          <w:numId w:val="109"/>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обеспечение охвата населения эффективным скринингом на ВИЧ-инфекцию в целях максимального выявления лиц с ВИЧ-инфекцией;</w:t>
      </w:r>
    </w:p>
    <w:p>
      <w:pPr>
        <w:pStyle w:val="Style4"/>
        <w:keepNext w:val="0"/>
        <w:keepLines w:val="0"/>
        <w:widowControl w:val="0"/>
        <w:numPr>
          <w:ilvl w:val="0"/>
          <w:numId w:val="109"/>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проведение мероприятий по диагностике и выявлению ВИЧ-инфекции и постановке на диспансерное наблюдение лиц, инфицированных ВИЧ;</w:t>
      </w:r>
    </w:p>
    <w:p>
      <w:pPr>
        <w:pStyle w:val="Style4"/>
        <w:keepNext w:val="0"/>
        <w:keepLines w:val="0"/>
        <w:widowControl w:val="0"/>
        <w:numPr>
          <w:ilvl w:val="0"/>
          <w:numId w:val="109"/>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проведение мероприятий по повышению приверженности ВИЧ-инфицированных к лечению ВИЧ-инфекции и диспансерному наблюдению в целях сокращения смертности и предотвращения перехода ВИЧ в стадию СПИДа;</w:t>
      </w:r>
    </w:p>
    <w:p>
      <w:pPr>
        <w:pStyle w:val="Style4"/>
        <w:keepNext w:val="0"/>
        <w:keepLines w:val="0"/>
        <w:widowControl w:val="0"/>
        <w:numPr>
          <w:ilvl w:val="0"/>
          <w:numId w:val="109"/>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увеличение охвата антиретровирусной терапией лиц </w:t>
      </w:r>
      <w:r>
        <w:rPr>
          <w:i/>
          <w:iCs/>
          <w:color w:val="000000"/>
          <w:spacing w:val="0"/>
          <w:w w:val="100"/>
          <w:position w:val="0"/>
          <w:shd w:val="clear" w:color="auto" w:fill="auto"/>
          <w:lang w:val="ru-RU" w:eastAsia="ru-RU" w:bidi="ru-RU"/>
        </w:rPr>
        <w:t>с</w:t>
      </w:r>
      <w:r>
        <w:rPr>
          <w:color w:val="000000"/>
          <w:spacing w:val="0"/>
          <w:w w:val="100"/>
          <w:position w:val="0"/>
          <w:shd w:val="clear" w:color="auto" w:fill="auto"/>
          <w:lang w:val="ru-RU" w:eastAsia="ru-RU" w:bidi="ru-RU"/>
        </w:rPr>
        <w:t xml:space="preserve"> ВИЧ-инфекцией и дальнейшее снижение рисков передачи ВИЧ-инфекции от матери к ребенку;</w:t>
      </w:r>
    </w:p>
    <w:p>
      <w:pPr>
        <w:pStyle w:val="Style4"/>
        <w:keepNext w:val="0"/>
        <w:keepLines w:val="0"/>
        <w:widowControl w:val="0"/>
        <w:numPr>
          <w:ilvl w:val="0"/>
          <w:numId w:val="109"/>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повышение информированности граждан по вопросам ВИЧ-инфекции и гепатита С, а также формирование социальной среды, исключающей дискриминацию и стигматизацию по отношению к лицам с ВИЧ-инфекцией;</w:t>
      </w:r>
    </w:p>
    <w:p>
      <w:pPr>
        <w:pStyle w:val="Style4"/>
        <w:keepNext w:val="0"/>
        <w:keepLines w:val="0"/>
        <w:widowControl w:val="0"/>
        <w:numPr>
          <w:ilvl w:val="0"/>
          <w:numId w:val="109"/>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разработка, изготовление и распространение среди населения информационных материалов по вопросам ВИЧ-инфекции, гепатита С, в том числе тиражирование и распространение полиграфической, аудио- и видеопродукции;</w:t>
      </w:r>
    </w:p>
    <w:p>
      <w:pPr>
        <w:pStyle w:val="Style4"/>
        <w:keepNext w:val="0"/>
        <w:keepLines w:val="0"/>
        <w:widowControl w:val="0"/>
        <w:numPr>
          <w:ilvl w:val="0"/>
          <w:numId w:val="109"/>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проведение информационных тренингов, акций и массовых мероприятий для населения по профилактике ВИЧ-инфекции и других инфекционных заболеваний;</w:t>
      </w:r>
    </w:p>
    <w:p>
      <w:pPr>
        <w:pStyle w:val="Style4"/>
        <w:keepNext w:val="0"/>
        <w:keepLines w:val="0"/>
        <w:widowControl w:val="0"/>
        <w:numPr>
          <w:ilvl w:val="0"/>
          <w:numId w:val="109"/>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повышение информированности профильных специалистов, в частности врачей первичного звена, по вопросам профилактики и диагностики ВИЧ-инфекции и гепатита С в целях выявления лиц с ВИЧ-инфекцией, гепатитом С на ранних стадиях заболевания.</w:t>
      </w:r>
    </w:p>
    <w:p>
      <w:pPr>
        <w:pStyle w:val="Style4"/>
        <w:keepNext w:val="0"/>
        <w:keepLines w:val="0"/>
        <w:widowControl w:val="0"/>
        <w:numPr>
          <w:ilvl w:val="0"/>
          <w:numId w:val="107"/>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В рамках Программы создаются следующие условия для пребывания гражданина в медицинской организации при оказании медицинской помощи в стационарных условиях:</w:t>
      </w:r>
    </w:p>
    <w:p>
      <w:pPr>
        <w:pStyle w:val="Style4"/>
        <w:keepNext w:val="0"/>
        <w:keepLines w:val="0"/>
        <w:widowControl w:val="0"/>
        <w:numPr>
          <w:ilvl w:val="0"/>
          <w:numId w:val="111"/>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круглосуточное медицинское наблюдение и лечение в условиях, соответствующих государственным санитарно-эпидемиологическим правилам и гигиеническим нормативам;</w:t>
      </w:r>
    </w:p>
    <w:p>
      <w:pPr>
        <w:pStyle w:val="Style4"/>
        <w:keepNext w:val="0"/>
        <w:keepLines w:val="0"/>
        <w:widowControl w:val="0"/>
        <w:numPr>
          <w:ilvl w:val="0"/>
          <w:numId w:val="111"/>
        </w:numPr>
        <w:shd w:val="clear" w:color="auto" w:fill="auto"/>
        <w:tabs>
          <w:tab w:pos="1733"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предоставление спального места и лечебного питания;</w:t>
      </w:r>
    </w:p>
    <w:p>
      <w:pPr>
        <w:pStyle w:val="Style4"/>
        <w:keepNext w:val="0"/>
        <w:keepLines w:val="0"/>
        <w:widowControl w:val="0"/>
        <w:numPr>
          <w:ilvl w:val="0"/>
          <w:numId w:val="111"/>
        </w:numPr>
        <w:shd w:val="clear" w:color="auto" w:fill="auto"/>
        <w:tabs>
          <w:tab w:pos="107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предоставление по медицинским показаниям поста индивидуального ухода;</w:t>
      </w:r>
    </w:p>
    <w:p>
      <w:pPr>
        <w:pStyle w:val="Style4"/>
        <w:keepNext w:val="0"/>
        <w:keepLines w:val="0"/>
        <w:widowControl w:val="0"/>
        <w:numPr>
          <w:ilvl w:val="0"/>
          <w:numId w:val="111"/>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размещение в палатах вместимостью в соответствии с государственными санитарно-эпидемиологическими правилами и гигиеническими нормативами;</w:t>
      </w:r>
    </w:p>
    <w:p>
      <w:pPr>
        <w:pStyle w:val="Style4"/>
        <w:keepNext w:val="0"/>
        <w:keepLines w:val="0"/>
        <w:widowControl w:val="0"/>
        <w:numPr>
          <w:ilvl w:val="0"/>
          <w:numId w:val="111"/>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допуск адвоката или законного представителя для защиты прав гражданина;</w:t>
      </w:r>
    </w:p>
    <w:p>
      <w:pPr>
        <w:pStyle w:val="Style4"/>
        <w:keepNext w:val="0"/>
        <w:keepLines w:val="0"/>
        <w:widowControl w:val="0"/>
        <w:numPr>
          <w:ilvl w:val="0"/>
          <w:numId w:val="111"/>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предоставление условий для отправления религиозных обрядов, проведение которых возможно в стационарных условиях, если это не нарушает внутренний распорядок медицинской организации;</w:t>
      </w:r>
    </w:p>
    <w:p>
      <w:pPr>
        <w:pStyle w:val="Style4"/>
        <w:keepNext w:val="0"/>
        <w:keepLines w:val="0"/>
        <w:widowControl w:val="0"/>
        <w:numPr>
          <w:ilvl w:val="0"/>
          <w:numId w:val="111"/>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предоставление права одному из родителей, иному члену семьи или иному законному представителю на бесплатное совместное нахождение с ребенком в медицинской организации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pPr>
        <w:pStyle w:val="Style4"/>
        <w:keepNext w:val="0"/>
        <w:keepLines w:val="0"/>
        <w:widowControl w:val="0"/>
        <w:numPr>
          <w:ilvl w:val="0"/>
          <w:numId w:val="111"/>
        </w:numPr>
        <w:shd w:val="clear" w:color="auto" w:fill="auto"/>
        <w:tabs>
          <w:tab w:pos="1024" w:val="left"/>
        </w:tabs>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с ребенком-инвалидом, который в соответствии </w:t>
      </w:r>
      <w:r>
        <w:rPr>
          <w:i/>
          <w:iCs/>
          <w:color w:val="000000"/>
          <w:spacing w:val="0"/>
          <w:w w:val="100"/>
          <w:position w:val="0"/>
          <w:shd w:val="clear" w:color="auto" w:fill="auto"/>
          <w:lang w:val="ru-RU" w:eastAsia="ru-RU" w:bidi="ru-RU"/>
        </w:rPr>
        <w:t>с</w:t>
      </w:r>
      <w:r>
        <w:rPr>
          <w:color w:val="000000"/>
          <w:spacing w:val="0"/>
          <w:w w:val="100"/>
          <w:position w:val="0"/>
          <w:shd w:val="clear" w:color="auto" w:fill="auto"/>
          <w:lang w:val="ru-RU" w:eastAsia="ru-RU" w:bidi="ru-RU"/>
        </w:rPr>
        <w:t xml:space="preserve">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pPr>
        <w:pStyle w:val="Style4"/>
        <w:keepNext w:val="0"/>
        <w:keepLines w:val="0"/>
        <w:widowControl w:val="0"/>
        <w:numPr>
          <w:ilvl w:val="0"/>
          <w:numId w:val="111"/>
        </w:numPr>
        <w:shd w:val="clear" w:color="auto" w:fill="auto"/>
        <w:tabs>
          <w:tab w:pos="1728"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с ребенком до достижения им возраста четырех лет;</w:t>
      </w:r>
    </w:p>
    <w:p>
      <w:pPr>
        <w:pStyle w:val="Style4"/>
        <w:keepNext w:val="0"/>
        <w:keepLines w:val="0"/>
        <w:widowControl w:val="0"/>
        <w:numPr>
          <w:ilvl w:val="0"/>
          <w:numId w:val="111"/>
        </w:numPr>
        <w:shd w:val="clear" w:color="auto" w:fill="auto"/>
        <w:tabs>
          <w:tab w:pos="1024"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с ребенком в возрасте старше четырех лет - при наличии медицинских показаний.</w:t>
      </w:r>
    </w:p>
    <w:p>
      <w:pPr>
        <w:pStyle w:val="Style4"/>
        <w:keepNext w:val="0"/>
        <w:keepLines w:val="0"/>
        <w:widowControl w:val="0"/>
        <w:numPr>
          <w:ilvl w:val="0"/>
          <w:numId w:val="113"/>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При оказании медицинской помощи в стационарных условиях осуществляется лечение сопутствующего заболевания, влияющего на тяжесть и течение основного заболевания.</w:t>
      </w:r>
    </w:p>
    <w:p>
      <w:pPr>
        <w:pStyle w:val="Style4"/>
        <w:keepNext w:val="0"/>
        <w:keepLines w:val="0"/>
        <w:widowControl w:val="0"/>
        <w:numPr>
          <w:ilvl w:val="0"/>
          <w:numId w:val="113"/>
        </w:numPr>
        <w:shd w:val="clear" w:color="auto" w:fill="auto"/>
        <w:tabs>
          <w:tab w:pos="118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При оказании медицинской помощи в рамках Программы пациенты размещаются в маломестных палатах не более 2 мест (боксах) при наличии медицинских и (или) эпидемиологических показаний к размещению пациентов в маломестных палатах (боксах), указанных в перечне, утвержденном приказом Министерства здравоохранения и социального развития Российской Федерации от 15 мая 2012 года № 535н, а именно:</w:t>
      </w:r>
    </w:p>
    <w:p>
      <w:pPr>
        <w:pStyle w:val="Style4"/>
        <w:keepNext w:val="0"/>
        <w:keepLines w:val="0"/>
        <w:widowControl w:val="0"/>
        <w:numPr>
          <w:ilvl w:val="0"/>
          <w:numId w:val="115"/>
        </w:numPr>
        <w:shd w:val="clear" w:color="auto" w:fill="auto"/>
        <w:tabs>
          <w:tab w:pos="1027" w:val="left"/>
        </w:tabs>
        <w:bidi w:val="0"/>
        <w:spacing w:before="0" w:after="0" w:line="240" w:lineRule="auto"/>
        <w:ind w:left="0" w:right="0" w:firstLine="700"/>
        <w:jc w:val="left"/>
      </w:pPr>
      <w:r>
        <w:rPr>
          <w:color w:val="000000"/>
          <w:spacing w:val="0"/>
          <w:w w:val="100"/>
          <w:position w:val="0"/>
          <w:shd w:val="clear" w:color="auto" w:fill="auto"/>
          <w:lang w:val="ru-RU" w:eastAsia="ru-RU" w:bidi="ru-RU"/>
        </w:rPr>
        <w:t>болезнь, вызванная вирусом иммунодефицита человека (ВИЧ);</w:t>
      </w:r>
    </w:p>
    <w:p>
      <w:pPr>
        <w:pStyle w:val="Style4"/>
        <w:keepNext w:val="0"/>
        <w:keepLines w:val="0"/>
        <w:widowControl w:val="0"/>
        <w:numPr>
          <w:ilvl w:val="0"/>
          <w:numId w:val="115"/>
        </w:numPr>
        <w:shd w:val="clear" w:color="auto" w:fill="auto"/>
        <w:tabs>
          <w:tab w:pos="107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кистозный фиброз (муковисцидоз);</w:t>
      </w:r>
    </w:p>
    <w:p>
      <w:pPr>
        <w:pStyle w:val="Style4"/>
        <w:keepNext w:val="0"/>
        <w:keepLines w:val="0"/>
        <w:widowControl w:val="0"/>
        <w:numPr>
          <w:ilvl w:val="0"/>
          <w:numId w:val="115"/>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злокачественные новообразования лимфоидной, кроветворной и родственных им тканей;</w:t>
      </w:r>
    </w:p>
    <w:p>
      <w:pPr>
        <w:pStyle w:val="Style4"/>
        <w:keepNext w:val="0"/>
        <w:keepLines w:val="0"/>
        <w:widowControl w:val="0"/>
        <w:numPr>
          <w:ilvl w:val="0"/>
          <w:numId w:val="115"/>
        </w:numPr>
        <w:shd w:val="clear" w:color="auto" w:fill="auto"/>
        <w:tabs>
          <w:tab w:pos="108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термические и химические ожоги;</w:t>
      </w:r>
    </w:p>
    <w:p>
      <w:pPr>
        <w:pStyle w:val="Style4"/>
        <w:keepNext w:val="0"/>
        <w:keepLines w:val="0"/>
        <w:widowControl w:val="0"/>
        <w:numPr>
          <w:ilvl w:val="0"/>
          <w:numId w:val="115"/>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заболевания, вызванные метициллин (оксациллин)-резистентным золотистым стафилококком или ванкомицинрезистентным энтерококком:</w:t>
      </w:r>
    </w:p>
    <w:p>
      <w:pPr>
        <w:pStyle w:val="Style4"/>
        <w:keepNext w:val="0"/>
        <w:keepLines w:val="0"/>
        <w:widowControl w:val="0"/>
        <w:numPr>
          <w:ilvl w:val="0"/>
          <w:numId w:val="117"/>
        </w:numPr>
        <w:shd w:val="clear" w:color="auto" w:fill="auto"/>
        <w:tabs>
          <w:tab w:pos="912"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пневмония;</w:t>
      </w:r>
    </w:p>
    <w:p>
      <w:pPr>
        <w:pStyle w:val="Style4"/>
        <w:keepNext w:val="0"/>
        <w:keepLines w:val="0"/>
        <w:widowControl w:val="0"/>
        <w:numPr>
          <w:ilvl w:val="0"/>
          <w:numId w:val="117"/>
        </w:numPr>
        <w:shd w:val="clear" w:color="auto" w:fill="auto"/>
        <w:tabs>
          <w:tab w:pos="912"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менингит;</w:t>
      </w:r>
    </w:p>
    <w:p>
      <w:pPr>
        <w:pStyle w:val="Style4"/>
        <w:keepNext w:val="0"/>
        <w:keepLines w:val="0"/>
        <w:widowControl w:val="0"/>
        <w:numPr>
          <w:ilvl w:val="0"/>
          <w:numId w:val="117"/>
        </w:numPr>
        <w:shd w:val="clear" w:color="auto" w:fill="auto"/>
        <w:tabs>
          <w:tab w:pos="912"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остеомиелит;</w:t>
      </w:r>
    </w:p>
    <w:p>
      <w:pPr>
        <w:pStyle w:val="Style4"/>
        <w:keepNext w:val="0"/>
        <w:keepLines w:val="0"/>
        <w:widowControl w:val="0"/>
        <w:numPr>
          <w:ilvl w:val="0"/>
          <w:numId w:val="117"/>
        </w:numPr>
        <w:shd w:val="clear" w:color="auto" w:fill="auto"/>
        <w:tabs>
          <w:tab w:pos="912"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острый и подострый инфекционный эндокардит;</w:t>
      </w:r>
    </w:p>
    <w:p>
      <w:pPr>
        <w:pStyle w:val="Style4"/>
        <w:keepNext w:val="0"/>
        <w:keepLines w:val="0"/>
        <w:widowControl w:val="0"/>
        <w:numPr>
          <w:ilvl w:val="0"/>
          <w:numId w:val="117"/>
        </w:numPr>
        <w:shd w:val="clear" w:color="auto" w:fill="auto"/>
        <w:tabs>
          <w:tab w:pos="912"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инфекционно-токсический шок;</w:t>
      </w:r>
    </w:p>
    <w:p>
      <w:pPr>
        <w:pStyle w:val="Style4"/>
        <w:keepNext w:val="0"/>
        <w:keepLines w:val="0"/>
        <w:widowControl w:val="0"/>
        <w:numPr>
          <w:ilvl w:val="0"/>
          <w:numId w:val="117"/>
        </w:numPr>
        <w:shd w:val="clear" w:color="auto" w:fill="auto"/>
        <w:tabs>
          <w:tab w:pos="912" w:val="left"/>
        </w:tabs>
        <w:bidi w:val="0"/>
        <w:spacing w:before="0" w:after="0" w:line="240" w:lineRule="auto"/>
        <w:ind w:left="0" w:right="0" w:firstLine="700"/>
        <w:jc w:val="both"/>
      </w:pPr>
      <w:r>
        <w:rPr>
          <w:color w:val="000000"/>
          <w:spacing w:val="0"/>
          <w:w w:val="100"/>
          <w:position w:val="0"/>
          <w:shd w:val="clear" w:color="auto" w:fill="auto"/>
          <w:lang w:val="ru-RU" w:eastAsia="ru-RU" w:bidi="ru-RU"/>
        </w:rPr>
        <w:t>сепсис;</w:t>
      </w:r>
    </w:p>
    <w:p>
      <w:pPr>
        <w:pStyle w:val="Style4"/>
        <w:keepNext w:val="0"/>
        <w:keepLines w:val="0"/>
        <w:widowControl w:val="0"/>
        <w:numPr>
          <w:ilvl w:val="0"/>
          <w:numId w:val="117"/>
        </w:numPr>
        <w:shd w:val="clear" w:color="auto" w:fill="auto"/>
        <w:tabs>
          <w:tab w:pos="912"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недержание кала (энкопрез);</w:t>
      </w:r>
    </w:p>
    <w:p>
      <w:pPr>
        <w:pStyle w:val="Style4"/>
        <w:keepNext w:val="0"/>
        <w:keepLines w:val="0"/>
        <w:widowControl w:val="0"/>
        <w:numPr>
          <w:ilvl w:val="0"/>
          <w:numId w:val="117"/>
        </w:numPr>
        <w:shd w:val="clear" w:color="auto" w:fill="auto"/>
        <w:tabs>
          <w:tab w:pos="912"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недержание мочи;</w:t>
      </w:r>
    </w:p>
    <w:p>
      <w:pPr>
        <w:pStyle w:val="Style4"/>
        <w:keepNext w:val="0"/>
        <w:keepLines w:val="0"/>
        <w:widowControl w:val="0"/>
        <w:numPr>
          <w:ilvl w:val="0"/>
          <w:numId w:val="117"/>
        </w:numPr>
        <w:shd w:val="clear" w:color="auto" w:fill="auto"/>
        <w:tabs>
          <w:tab w:pos="93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заболевания, сопровождающиеся тошнотой и рвотой;</w:t>
      </w:r>
    </w:p>
    <w:p>
      <w:pPr>
        <w:pStyle w:val="Style4"/>
        <w:keepNext w:val="0"/>
        <w:keepLines w:val="0"/>
        <w:widowControl w:val="0"/>
        <w:numPr>
          <w:ilvl w:val="0"/>
          <w:numId w:val="115"/>
        </w:numPr>
        <w:shd w:val="clear" w:color="auto" w:fill="auto"/>
        <w:tabs>
          <w:tab w:pos="107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некоторые инфекционные и паразитарные болезни.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Совместное размещение пациентов в маломестных палатах (боксах) допускается с учетом нозологических форм заболеваний, пола и тяжести состояния пациента.</w:t>
      </w:r>
    </w:p>
    <w:p>
      <w:pPr>
        <w:pStyle w:val="Style4"/>
        <w:keepNext w:val="0"/>
        <w:keepLines w:val="0"/>
        <w:widowControl w:val="0"/>
        <w:numPr>
          <w:ilvl w:val="0"/>
          <w:numId w:val="119"/>
        </w:numPr>
        <w:shd w:val="clear" w:color="auto" w:fill="auto"/>
        <w:tabs>
          <w:tab w:pos="118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В рамках Программы пациенту, находящемуся в медицинской организации на лечении в стационарных условиях, предоставляются транспортные услуги в случае необходимости проведения такому пациенту диагностических исследований в целях выполнения порядков оказания медицинской помощи, клинических рекомендаций и стандартов медицинской помощи (при отсутствии возможности их проведения медицинской организацией, осуществляющей лечение пациента в стационарных условиях).</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Указанные транспортные услуги предоставляются в течение всего срока лечения в стационарных условиях в медицинской организации.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Транспортировка к месту выполнения диагностических исследований и обратно осуществляется транспортом, в том числе санитарным, предоставленным медицинской организацией, осуществляющей лечение пациента в стационарных условиях, либо санитарным транспортом, предоставленным медицинской организацией, оказывающей скорую медицинскую помощь.</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Пациент сопровождается к месту выполнения диагностических исследований и обратно медицинским работником медицинской организации, осуществляющей его лечение в стационарных условиях. При предоставлении транспортной услуги больному ребенку в возрасте до 4 лет он может сопровождаться к месту выполнения диагностических исследований и обратно также одним из родителей, иным членом семьи или иным законным представителем.</w:t>
      </w:r>
    </w:p>
    <w:p>
      <w:pPr>
        <w:pStyle w:val="Style4"/>
        <w:keepNext w:val="0"/>
        <w:keepLines w:val="0"/>
        <w:widowControl w:val="0"/>
        <w:numPr>
          <w:ilvl w:val="0"/>
          <w:numId w:val="119"/>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Диспансеризация отдельных категорий граждан, включая определенные группы взрослого населения (в возрасте 18 лет и старше), в том числе работающих и неработающих граждан, обучающихся в образовательных организациях по очной форме, пребывающих в стационарных организациях детей-сирот и детей, находящихся в трудной жизненной ситуации, а также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и других категорий граждан проводится в соответствии с порядками, утверждаемыми уполномоченным федеральным органом исполнительной власти.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w:t>
      </w:r>
      <w:r>
        <w:rPr>
          <w:color w:val="000000"/>
          <w:spacing w:val="0"/>
          <w:w w:val="100"/>
          <w:position w:val="0"/>
          <w:shd w:val="clear" w:color="auto" w:fill="auto"/>
          <w:lang w:val="ru-RU" w:eastAsia="ru-RU" w:bidi="ru-RU"/>
        </w:rPr>
        <w:t>(включая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Профилактические медицинские осмотры несовершеннолетних осуществляются в соответствии с условиями, установленными областным законодательством.</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Диспансеризация населения проводится 1 раз в 3 года, за исключением отдельных категорий граждан, включая граждан в возрасте 40 лет и старше, 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лиц, награжденных знаком «Жителю блокадного Ленинграда», лиц, награжденных знаком «Житель осажденного Севастополя», лиц, награжденных знаком «Житель осажденного Сталинграда», и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 работающих граждан, не достигших возраста, дающего право на назначение пенсии по старости, в том числе досрочно, в течение пяти лет до наступления такого возраста и работающих граждан, являющихся получателями пенсии по старости или пенсии за выслугу лет, пребывающих в стационарных организациях детей-сирот и детей, находящихся в трудной жизненной ситуации, а также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которые проходят диспансеризацию ежегодно.</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При отсутствии в медицинской организации врачей-специалистов, необходимых для прохождения диспансеризации населения, в том числе детского, для проведения диспансеризации привлекаются другие медицинские работники в порядке, установленном федеральным законодательством.</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При отсутствии возможности проведения диагностических, лабораторных исследований в медицинской организации для прохождения диспансеризации населения, в том числе детского, указанные исследования проводятся в другой медицинской организации в порядке, установленном федеральным законодательством.</w:t>
      </w:r>
    </w:p>
    <w:p>
      <w:pPr>
        <w:pStyle w:val="Style4"/>
        <w:keepNext w:val="0"/>
        <w:keepLines w:val="0"/>
        <w:widowControl w:val="0"/>
        <w:numPr>
          <w:ilvl w:val="0"/>
          <w:numId w:val="119"/>
        </w:numPr>
        <w:shd w:val="clear" w:color="auto" w:fill="auto"/>
        <w:tabs>
          <w:tab w:pos="117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Детям-сиротам и детям, оставшимся без попечения родителей, в случае выявления у них заболеваний оказывается медицинская помощь всех видов (в том числе по профилю «медицинская реабилитация»), включая специализированную, в том числе высокотехнологичную, медицинскую </w:t>
      </w:r>
      <w:r>
        <w:rPr>
          <w:color w:val="000000"/>
          <w:spacing w:val="0"/>
          <w:w w:val="100"/>
          <w:position w:val="0"/>
          <w:shd w:val="clear" w:color="auto" w:fill="auto"/>
          <w:lang w:val="ru-RU" w:eastAsia="ru-RU" w:bidi="ru-RU"/>
        </w:rPr>
        <w:t xml:space="preserve">помощь </w:t>
      </w:r>
      <w:r>
        <w:rPr>
          <w:i/>
          <w:iCs/>
          <w:color w:val="000000"/>
          <w:spacing w:val="0"/>
          <w:w w:val="100"/>
          <w:position w:val="0"/>
          <w:shd w:val="clear" w:color="auto" w:fill="auto"/>
          <w:lang w:val="ru-RU" w:eastAsia="ru-RU" w:bidi="ru-RU"/>
        </w:rPr>
        <w:t>с</w:t>
      </w:r>
      <w:r>
        <w:rPr>
          <w:color w:val="000000"/>
          <w:spacing w:val="0"/>
          <w:w w:val="100"/>
          <w:position w:val="0"/>
          <w:shd w:val="clear" w:color="auto" w:fill="auto"/>
          <w:lang w:val="ru-RU" w:eastAsia="ru-RU" w:bidi="ru-RU"/>
        </w:rPr>
        <w:t xml:space="preserve"> учетом сокращения сроков ожидания медицинской помощи, предусмотренных пунктом 85 Программы.</w:t>
      </w:r>
    </w:p>
    <w:p>
      <w:pPr>
        <w:pStyle w:val="Style4"/>
        <w:keepNext w:val="0"/>
        <w:keepLines w:val="0"/>
        <w:widowControl w:val="0"/>
        <w:numPr>
          <w:ilvl w:val="0"/>
          <w:numId w:val="119"/>
        </w:numPr>
        <w:shd w:val="clear" w:color="auto" w:fill="auto"/>
        <w:tabs>
          <w:tab w:pos="118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При оказании гражданину медицинской помощи в экстренной форме медицинской организацией, не участвующей в реализации Программы, имеющей соответствующую лицензию на осуществление медицинской деятельности, указанная медицинская организация оформляет выписку из медицинской карты больного об оказании ему медицинской помощи в экстренной форме с приложением копий документов, подтверждающих личность больного, которую направляет медицинской организации, осуществляющей оказание скорой медицинской помощи на соответствующей территории обслуживания и включенной в реестр медицинских организаций, осуществляющих деятельность в сфере ОМС по территориальной программе ОМС, в 2026 году (далее - уполномоченная медицинская организация), для заключения договора на возмещение расходов, связанных </w:t>
      </w:r>
      <w:r>
        <w:rPr>
          <w:i/>
          <w:iCs/>
          <w:color w:val="000000"/>
          <w:spacing w:val="0"/>
          <w:w w:val="100"/>
          <w:position w:val="0"/>
          <w:shd w:val="clear" w:color="auto" w:fill="auto"/>
          <w:lang w:val="ru-RU" w:eastAsia="ru-RU" w:bidi="ru-RU"/>
        </w:rPr>
        <w:t>с</w:t>
      </w:r>
      <w:r>
        <w:rPr>
          <w:color w:val="000000"/>
          <w:spacing w:val="0"/>
          <w:w w:val="100"/>
          <w:position w:val="0"/>
          <w:shd w:val="clear" w:color="auto" w:fill="auto"/>
          <w:lang w:val="ru-RU" w:eastAsia="ru-RU" w:bidi="ru-RU"/>
        </w:rPr>
        <w:t xml:space="preserve"> оказанием гражданам медицинской помощи в экстренной форме.</w:t>
      </w:r>
    </w:p>
    <w:p>
      <w:pPr>
        <w:pStyle w:val="Style4"/>
        <w:keepNext w:val="0"/>
        <w:keepLines w:val="0"/>
        <w:widowControl w:val="0"/>
        <w:shd w:val="clear" w:color="auto" w:fill="auto"/>
        <w:bidi w:val="0"/>
        <w:spacing w:before="0" w:after="0" w:line="240" w:lineRule="auto"/>
        <w:ind w:left="0" w:right="0" w:firstLine="720"/>
        <w:jc w:val="both"/>
      </w:pPr>
      <w:r>
        <w:rPr>
          <w:color w:val="000000"/>
          <w:spacing w:val="0"/>
          <w:w w:val="100"/>
          <w:position w:val="0"/>
          <w:shd w:val="clear" w:color="auto" w:fill="auto"/>
          <w:lang w:val="ru-RU" w:eastAsia="ru-RU" w:bidi="ru-RU"/>
        </w:rPr>
        <w:t>Уполномоченная медицинская организация в течение 30 календарных дней со дня получения документов, указанных в абзаце первом настоящего пункта, на основании заключенного договора производит возмещение расходов согласно установленным тарифам на оплату медицинской помощи по ОМС в соответствии с тарифным соглашением:</w:t>
      </w:r>
    </w:p>
    <w:p>
      <w:pPr>
        <w:pStyle w:val="Style4"/>
        <w:keepNext w:val="0"/>
        <w:keepLines w:val="0"/>
        <w:widowControl w:val="0"/>
        <w:numPr>
          <w:ilvl w:val="0"/>
          <w:numId w:val="121"/>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застрахованным по ОМС лицам - за счет средств ОМС;</w:t>
      </w:r>
    </w:p>
    <w:p>
      <w:pPr>
        <w:pStyle w:val="Style4"/>
        <w:keepNext w:val="0"/>
        <w:keepLines w:val="0"/>
        <w:widowControl w:val="0"/>
        <w:numPr>
          <w:ilvl w:val="0"/>
          <w:numId w:val="121"/>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не застрахованным по ОМС лицам - за счет средств областного бюджета.</w:t>
      </w:r>
    </w:p>
    <w:p>
      <w:pPr>
        <w:pStyle w:val="Style4"/>
        <w:keepNext w:val="0"/>
        <w:keepLines w:val="0"/>
        <w:widowControl w:val="0"/>
        <w:numPr>
          <w:ilvl w:val="0"/>
          <w:numId w:val="123"/>
        </w:numPr>
        <w:shd w:val="clear" w:color="auto" w:fill="auto"/>
        <w:tabs>
          <w:tab w:pos="1177" w:val="left"/>
        </w:tabs>
        <w:bidi w:val="0"/>
        <w:spacing w:before="0" w:after="320" w:line="240" w:lineRule="auto"/>
        <w:ind w:left="0" w:right="0" w:firstLine="720"/>
        <w:jc w:val="both"/>
      </w:pPr>
      <w:r>
        <w:rPr>
          <w:color w:val="000000"/>
          <w:spacing w:val="0"/>
          <w:w w:val="100"/>
          <w:position w:val="0"/>
          <w:shd w:val="clear" w:color="auto" w:fill="auto"/>
          <w:lang w:val="ru-RU" w:eastAsia="ru-RU" w:bidi="ru-RU"/>
        </w:rPr>
        <w:t>Взаимодействие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взаимодействие с референс</w:t>
        <w:softHyphen/>
        <w:t>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осуществляется в соответствии с распоряжением Министерства здравоохранения Омской области от 28 ноября 2025 года № 652-р.</w:t>
      </w:r>
    </w:p>
    <w:p>
      <w:pPr>
        <w:pStyle w:val="Style4"/>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ru-RU" w:eastAsia="ru-RU" w:bidi="ru-RU"/>
        </w:rPr>
        <w:t>VIII. Критерии доступности и качества медицинской помощи</w:t>
      </w:r>
    </w:p>
    <w:p>
      <w:pPr>
        <w:pStyle w:val="Style4"/>
        <w:keepNext w:val="0"/>
        <w:keepLines w:val="0"/>
        <w:widowControl w:val="0"/>
        <w:numPr>
          <w:ilvl w:val="0"/>
          <w:numId w:val="123"/>
        </w:numPr>
        <w:shd w:val="clear" w:color="auto" w:fill="auto"/>
        <w:tabs>
          <w:tab w:pos="131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Программой устанавливаются целевые значения критериев доступности и качества медицинской помощи, на основе которых проводится комплексная оценка уровня и динамики доступности и качества медицинской помощи.</w:t>
      </w:r>
    </w:p>
    <w:p>
      <w:pPr>
        <w:pStyle w:val="Style4"/>
        <w:keepNext w:val="0"/>
        <w:keepLines w:val="0"/>
        <w:widowControl w:val="0"/>
        <w:numPr>
          <w:ilvl w:val="0"/>
          <w:numId w:val="123"/>
        </w:numPr>
        <w:shd w:val="clear" w:color="auto" w:fill="auto"/>
        <w:tabs>
          <w:tab w:pos="1848"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Критериями доступности медицинской помощи являются:</w:t>
      </w:r>
    </w:p>
    <w:p>
      <w:pPr>
        <w:pStyle w:val="Style4"/>
        <w:keepNext w:val="0"/>
        <w:keepLines w:val="0"/>
        <w:widowControl w:val="0"/>
        <w:shd w:val="clear" w:color="auto" w:fill="auto"/>
        <w:bidi w:val="0"/>
        <w:spacing w:before="0" w:after="320" w:line="240" w:lineRule="auto"/>
        <w:ind w:left="0" w:right="0" w:firstLine="720"/>
        <w:jc w:val="both"/>
      </w:pPr>
      <w:r>
        <w:rPr>
          <w:color w:val="000000"/>
          <w:spacing w:val="0"/>
          <w:w w:val="100"/>
          <w:position w:val="0"/>
          <w:shd w:val="clear" w:color="auto" w:fill="auto"/>
          <w:lang w:val="ru-RU" w:eastAsia="ru-RU" w:bidi="ru-RU"/>
        </w:rPr>
        <w:t>^удовлетворенность населения, в том числе городского и сельского населения, доступностью медицинской помощи (процентов от числа опрошенных): 2026 год - 60,1, в том числе городского населения - 60,1, сельского населения - 60,1; 2027 год - 60,6, в том числе городского населения - 60,6, сельского населения - 60,6; 2028 год - 61,1, в том числе городского населения - 61,1, сельского населения - 61,1;</w:t>
      </w:r>
    </w:p>
    <w:p>
      <w:pPr>
        <w:pStyle w:val="Style4"/>
        <w:keepNext w:val="0"/>
        <w:keepLines w:val="0"/>
        <w:widowControl w:val="0"/>
        <w:numPr>
          <w:ilvl w:val="0"/>
          <w:numId w:val="125"/>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доля расходов на оказание медицинской помощи в условиях дневных стационаров в общих расходах на Программу (процентов): 2026 год - 8,4; 2027 год - 7,6; 2028 год - 8,0;</w:t>
      </w:r>
    </w:p>
    <w:p>
      <w:pPr>
        <w:pStyle w:val="Style4"/>
        <w:keepNext w:val="0"/>
        <w:keepLines w:val="0"/>
        <w:widowControl w:val="0"/>
        <w:numPr>
          <w:ilvl w:val="0"/>
          <w:numId w:val="125"/>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доля расходов на оказание медицинской помощи в амбулаторных условиях в неотложной форме в общих расходах на Программу (процентов): 2026 год - 2,0; 2027 год - 1,9; 2028 год - 2,0;</w:t>
      </w:r>
    </w:p>
    <w:p>
      <w:pPr>
        <w:pStyle w:val="Style4"/>
        <w:keepNext w:val="0"/>
        <w:keepLines w:val="0"/>
        <w:widowControl w:val="0"/>
        <w:numPr>
          <w:ilvl w:val="0"/>
          <w:numId w:val="125"/>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специализированная медицинская помощь в стационарных условиях в рамках территориальной программы ОМС (процентов): 2026 год - 0,0; 2027 год - 0,0; 2028 год - 0,0;</w:t>
      </w:r>
    </w:p>
    <w:p>
      <w:pPr>
        <w:pStyle w:val="Style4"/>
        <w:keepNext w:val="0"/>
        <w:keepLines w:val="0"/>
        <w:widowControl w:val="0"/>
        <w:numPr>
          <w:ilvl w:val="0"/>
          <w:numId w:val="125"/>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 (процентов): 2026 год - 60; 2027 год - 60; 2028 год - 60;</w:t>
      </w:r>
    </w:p>
    <w:p>
      <w:pPr>
        <w:pStyle w:val="Style4"/>
        <w:keepNext w:val="0"/>
        <w:keepLines w:val="0"/>
        <w:widowControl w:val="0"/>
        <w:numPr>
          <w:ilvl w:val="0"/>
          <w:numId w:val="125"/>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число пациентов, которым оказана паллиативная медицинская помощь по месту их фактического пребывания за пределами Омской области, на территории которой указанные пациенты зарегистрированы по месту жительства: 2026 год - 3; 2027 год - 3; 2028 год - 3;</w:t>
      </w:r>
    </w:p>
    <w:p>
      <w:pPr>
        <w:pStyle w:val="Style4"/>
        <w:keepNext w:val="0"/>
        <w:keepLines w:val="0"/>
        <w:widowControl w:val="0"/>
        <w:numPr>
          <w:ilvl w:val="0"/>
          <w:numId w:val="125"/>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число пациентов, зарегистрированных на территории Омской области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 2026 год - 0; 2027 год - 0; 2028 год - 0;</w:t>
      </w:r>
    </w:p>
    <w:p>
      <w:pPr>
        <w:pStyle w:val="Style4"/>
        <w:keepNext w:val="0"/>
        <w:keepLines w:val="0"/>
        <w:widowControl w:val="0"/>
        <w:numPr>
          <w:ilvl w:val="0"/>
          <w:numId w:val="125"/>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 (процентов): 2026 год - 54,5; 2027 год - 55,0; 2028 год - 55,5;</w:t>
      </w:r>
    </w:p>
    <w:p>
      <w:pPr>
        <w:pStyle w:val="Style4"/>
        <w:keepNext w:val="0"/>
        <w:keepLines w:val="0"/>
        <w:widowControl w:val="0"/>
        <w:numPr>
          <w:ilvl w:val="0"/>
          <w:numId w:val="125"/>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 (процентов): 2026 год - 65,0; 2027 год - 70,0; 2028 год - 70,0;</w:t>
      </w:r>
    </w:p>
    <w:p>
      <w:pPr>
        <w:pStyle w:val="Style4"/>
        <w:keepNext w:val="0"/>
        <w:keepLines w:val="0"/>
        <w:widowControl w:val="0"/>
        <w:numPr>
          <w:ilvl w:val="0"/>
          <w:numId w:val="125"/>
        </w:numPr>
        <w:shd w:val="clear" w:color="auto" w:fill="auto"/>
        <w:tabs>
          <w:tab w:pos="1210"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доля граждан, обеспеченных лекарственными препаратами, в общем количестве льготных категорий граждан (процентов): 2026 год - 54,67; 2027 год - 54,67; 2028 год - 54,67;</w:t>
      </w:r>
    </w:p>
    <w:p>
      <w:pPr>
        <w:pStyle w:val="Style4"/>
        <w:keepNext w:val="0"/>
        <w:keepLines w:val="0"/>
        <w:widowControl w:val="0"/>
        <w:numPr>
          <w:ilvl w:val="0"/>
          <w:numId w:val="125"/>
        </w:numPr>
        <w:shd w:val="clear" w:color="auto" w:fill="auto"/>
        <w:tabs>
          <w:tab w:pos="1210"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 (процентов): 2026 год - 86,0; 2027 год - 86,0; 2028 год - 86,0;</w:t>
      </w:r>
    </w:p>
    <w:p>
      <w:pPr>
        <w:pStyle w:val="Style4"/>
        <w:keepNext w:val="0"/>
        <w:keepLines w:val="0"/>
        <w:widowControl w:val="0"/>
        <w:numPr>
          <w:ilvl w:val="0"/>
          <w:numId w:val="125"/>
        </w:numPr>
        <w:shd w:val="clear" w:color="auto" w:fill="auto"/>
        <w:tabs>
          <w:tab w:pos="1210"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число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 2026 год - 72,6; 2027 год - 72,6; 2028 год - 72,6;</w:t>
      </w:r>
    </w:p>
    <w:p>
      <w:pPr>
        <w:pStyle w:val="Style4"/>
        <w:keepNext w:val="0"/>
        <w:keepLines w:val="0"/>
        <w:widowControl w:val="0"/>
        <w:numPr>
          <w:ilvl w:val="0"/>
          <w:numId w:val="125"/>
        </w:numPr>
        <w:shd w:val="clear" w:color="auto" w:fill="auto"/>
        <w:tabs>
          <w:tab w:pos="1210"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оперативная активность на одну занятую должность врача хирургической специальности: 2026 год - 118,3; 2027 год - 118,3; 2028 год - 118,3.</w:t>
      </w:r>
    </w:p>
    <w:p>
      <w:pPr>
        <w:pStyle w:val="Style4"/>
        <w:keepNext w:val="0"/>
        <w:keepLines w:val="0"/>
        <w:widowControl w:val="0"/>
        <w:numPr>
          <w:ilvl w:val="0"/>
          <w:numId w:val="123"/>
        </w:numPr>
        <w:shd w:val="clear" w:color="auto" w:fill="auto"/>
        <w:tabs>
          <w:tab w:pos="1848"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Критериями качества медицинской помощи являются:</w:t>
      </w:r>
    </w:p>
    <w:p>
      <w:pPr>
        <w:pStyle w:val="Style4"/>
        <w:keepNext w:val="0"/>
        <w:keepLines w:val="0"/>
        <w:widowControl w:val="0"/>
        <w:numPr>
          <w:ilvl w:val="0"/>
          <w:numId w:val="127"/>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 (процентов): 2026 год - 24,2; 2027 год - 24,3; 2028 год - 24,1;</w:t>
      </w:r>
    </w:p>
    <w:p>
      <w:pPr>
        <w:pStyle w:val="Style4"/>
        <w:keepNext w:val="0"/>
        <w:keepLines w:val="0"/>
        <w:widowControl w:val="0"/>
        <w:numPr>
          <w:ilvl w:val="0"/>
          <w:numId w:val="127"/>
        </w:numPr>
        <w:shd w:val="clear" w:color="auto" w:fill="auto"/>
        <w:tabs>
          <w:tab w:pos="107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 (процентов): 2026 год - 7,0; 2027 год - 7,0; 2028 год - 7,0;</w:t>
      </w:r>
    </w:p>
    <w:p>
      <w:pPr>
        <w:pStyle w:val="Style4"/>
        <w:keepNext w:val="0"/>
        <w:keepLines w:val="0"/>
        <w:widowControl w:val="0"/>
        <w:numPr>
          <w:ilvl w:val="0"/>
          <w:numId w:val="127"/>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 (процентов): 2026 год - 6,5; 2027 год - 6,6; 2028 год - 6,7;</w:t>
      </w:r>
    </w:p>
    <w:p>
      <w:pPr>
        <w:pStyle w:val="Style4"/>
        <w:keepNext w:val="0"/>
        <w:keepLines w:val="0"/>
        <w:widowControl w:val="0"/>
        <w:numPr>
          <w:ilvl w:val="0"/>
          <w:numId w:val="127"/>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 (процентов): 2026 год - 1,9; 2027 год - 2,0; 2028 год - 2,0;</w:t>
      </w:r>
    </w:p>
    <w:p>
      <w:pPr>
        <w:pStyle w:val="Style4"/>
        <w:keepNext w:val="0"/>
        <w:keepLines w:val="0"/>
        <w:widowControl w:val="0"/>
        <w:numPr>
          <w:ilvl w:val="0"/>
          <w:numId w:val="127"/>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 (процентов): 2026 год - 99,9; 2027 год - 99,9; 2028 год - 99,9;</w:t>
      </w:r>
    </w:p>
    <w:p>
      <w:pPr>
        <w:pStyle w:val="Style4"/>
        <w:keepNext w:val="0"/>
        <w:keepLines w:val="0"/>
        <w:widowControl w:val="0"/>
        <w:numPr>
          <w:ilvl w:val="0"/>
          <w:numId w:val="127"/>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 (процентов): 2026 год - 42,0; 2027 год - 42,5; 2028 год-42,8;</w:t>
      </w:r>
    </w:p>
    <w:p>
      <w:pPr>
        <w:pStyle w:val="Style4"/>
        <w:keepNext w:val="0"/>
        <w:keepLines w:val="0"/>
        <w:widowControl w:val="0"/>
        <w:numPr>
          <w:ilvl w:val="0"/>
          <w:numId w:val="127"/>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 (процентов): 2026 год - 95,0; 2027 год - 95,0; 2028 год - 95,0;</w:t>
      </w:r>
    </w:p>
    <w:p>
      <w:pPr>
        <w:pStyle w:val="Style4"/>
        <w:keepNext w:val="0"/>
        <w:keepLines w:val="0"/>
        <w:widowControl w:val="0"/>
        <w:numPr>
          <w:ilvl w:val="0"/>
          <w:numId w:val="127"/>
        </w:numPr>
        <w:shd w:val="clear" w:color="auto" w:fill="auto"/>
        <w:tabs>
          <w:tab w:pos="10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 (процентов): 2026 год - 90,0; 2027 год - 90,0; 2028 год - 90,0;</w:t>
      </w:r>
    </w:p>
    <w:p>
      <w:pPr>
        <w:pStyle w:val="Style4"/>
        <w:keepNext w:val="0"/>
        <w:keepLines w:val="0"/>
        <w:widowControl w:val="0"/>
        <w:numPr>
          <w:ilvl w:val="0"/>
          <w:numId w:val="127"/>
        </w:numPr>
        <w:shd w:val="clear" w:color="auto" w:fill="auto"/>
        <w:tabs>
          <w:tab w:pos="107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 (процентов): 2026 год - 90,0; 2027 год - 90,0; 2028 год - 90,0;</w:t>
      </w:r>
    </w:p>
    <w:p>
      <w:pPr>
        <w:pStyle w:val="Style4"/>
        <w:keepNext w:val="0"/>
        <w:keepLines w:val="0"/>
        <w:widowControl w:val="0"/>
        <w:numPr>
          <w:ilvl w:val="0"/>
          <w:numId w:val="127"/>
        </w:numPr>
        <w:shd w:val="clear" w:color="auto" w:fill="auto"/>
        <w:tabs>
          <w:tab w:pos="1210" w:val="left"/>
        </w:tabs>
        <w:bidi w:val="0"/>
        <w:spacing w:before="0" w:after="0" w:line="240" w:lineRule="auto"/>
        <w:ind w:left="0" w:right="0" w:firstLine="740"/>
        <w:jc w:val="both"/>
      </w:pPr>
      <w:r>
        <w:rPr>
          <w:color w:val="000000"/>
          <w:spacing w:val="0"/>
          <w:w w:val="100"/>
          <w:position w:val="0"/>
          <w:shd w:val="clear" w:color="auto" w:fill="auto"/>
          <w:lang w:val="ru-RU" w:eastAsia="ru-RU" w:bidi="ru-RU"/>
        </w:rP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 (процентов): 2026 год - 50,0; 2027 год - 50,0; 2028 год - 50,0;</w:t>
      </w:r>
    </w:p>
    <w:p>
      <w:pPr>
        <w:pStyle w:val="Style4"/>
        <w:keepNext w:val="0"/>
        <w:keepLines w:val="0"/>
        <w:widowControl w:val="0"/>
        <w:numPr>
          <w:ilvl w:val="0"/>
          <w:numId w:val="127"/>
        </w:numPr>
        <w:shd w:val="clear" w:color="auto" w:fill="auto"/>
        <w:tabs>
          <w:tab w:pos="1210" w:val="left"/>
        </w:tabs>
        <w:bidi w:val="0"/>
        <w:spacing w:before="0" w:after="0" w:line="240" w:lineRule="auto"/>
        <w:ind w:left="0" w:right="0" w:firstLine="740"/>
        <w:jc w:val="both"/>
      </w:pPr>
      <w:r>
        <w:rPr>
          <w:color w:val="000000"/>
          <w:spacing w:val="0"/>
          <w:w w:val="100"/>
          <w:position w:val="0"/>
          <w:shd w:val="clear" w:color="auto" w:fill="auto"/>
          <w:lang w:val="ru-RU" w:eastAsia="ru-RU" w:bidi="ru-RU"/>
        </w:rP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 (процентов): 2026 год - 26,4; 2027 год - 26,5; 2028 год-26,5;</w:t>
      </w:r>
    </w:p>
    <w:p>
      <w:pPr>
        <w:pStyle w:val="Style4"/>
        <w:keepNext w:val="0"/>
        <w:keepLines w:val="0"/>
        <w:widowControl w:val="0"/>
        <w:numPr>
          <w:ilvl w:val="0"/>
          <w:numId w:val="127"/>
        </w:numPr>
        <w:shd w:val="clear" w:color="auto" w:fill="auto"/>
        <w:tabs>
          <w:tab w:pos="1210" w:val="left"/>
        </w:tabs>
        <w:bidi w:val="0"/>
        <w:spacing w:before="0" w:after="0" w:line="240" w:lineRule="auto"/>
        <w:ind w:left="0" w:right="0" w:firstLine="740"/>
        <w:jc w:val="both"/>
      </w:pPr>
      <w:r>
        <w:rPr>
          <w:color w:val="000000"/>
          <w:spacing w:val="0"/>
          <w:w w:val="100"/>
          <w:position w:val="0"/>
          <w:shd w:val="clear" w:color="auto" w:fill="auto"/>
          <w:lang w:val="ru-RU" w:eastAsia="ru-RU" w:bidi="ru-RU"/>
        </w:rP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 (процентов): 2026 год - 32,2; 2027 год - 32,5; 2028 год - 32,5;</w:t>
      </w:r>
    </w:p>
    <w:p>
      <w:pPr>
        <w:pStyle w:val="Style4"/>
        <w:keepNext w:val="0"/>
        <w:keepLines w:val="0"/>
        <w:widowControl w:val="0"/>
        <w:numPr>
          <w:ilvl w:val="0"/>
          <w:numId w:val="127"/>
        </w:numPr>
        <w:shd w:val="clear" w:color="auto" w:fill="auto"/>
        <w:tabs>
          <w:tab w:pos="1210" w:val="left"/>
        </w:tabs>
        <w:bidi w:val="0"/>
        <w:spacing w:before="0" w:after="0" w:line="240" w:lineRule="auto"/>
        <w:ind w:left="0" w:right="0" w:firstLine="740"/>
        <w:jc w:val="both"/>
      </w:pPr>
      <w:r>
        <w:rPr>
          <w:color w:val="000000"/>
          <w:spacing w:val="0"/>
          <w:w w:val="100"/>
          <w:position w:val="0"/>
          <w:shd w:val="clear" w:color="auto" w:fill="auto"/>
          <w:lang w:val="ru-RU" w:eastAsia="ru-RU" w:bidi="ru-RU"/>
        </w:rP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(процентов): 2026 год - 6,5; 2027 год - 7,0 2028 год - 7,0;</w:t>
      </w:r>
    </w:p>
    <w:p>
      <w:pPr>
        <w:pStyle w:val="Style4"/>
        <w:keepNext w:val="0"/>
        <w:keepLines w:val="0"/>
        <w:widowControl w:val="0"/>
        <w:numPr>
          <w:ilvl w:val="0"/>
          <w:numId w:val="127"/>
        </w:numPr>
        <w:shd w:val="clear" w:color="auto" w:fill="auto"/>
        <w:tabs>
          <w:tab w:pos="1210" w:val="left"/>
        </w:tabs>
        <w:bidi w:val="0"/>
        <w:spacing w:before="0" w:after="0" w:line="240" w:lineRule="auto"/>
        <w:ind w:left="0" w:right="0" w:firstLine="740"/>
        <w:jc w:val="both"/>
      </w:pPr>
      <w:r>
        <w:rPr>
          <w:color w:val="000000"/>
          <w:spacing w:val="0"/>
          <w:w w:val="100"/>
          <w:position w:val="0"/>
          <w:shd w:val="clear" w:color="auto" w:fill="auto"/>
          <w:lang w:val="ru-RU" w:eastAsia="ru-RU" w:bidi="ru-RU"/>
        </w:rP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 (процентов): 2026 год - 100; 2027 год - 100; 2028 год - 100;</w:t>
      </w:r>
    </w:p>
    <w:p>
      <w:pPr>
        <w:pStyle w:val="Style4"/>
        <w:keepNext w:val="0"/>
        <w:keepLines w:val="0"/>
        <w:widowControl w:val="0"/>
        <w:numPr>
          <w:ilvl w:val="0"/>
          <w:numId w:val="127"/>
        </w:numPr>
        <w:shd w:val="clear" w:color="auto" w:fill="auto"/>
        <w:tabs>
          <w:tab w:pos="1210" w:val="left"/>
        </w:tabs>
        <w:bidi w:val="0"/>
        <w:spacing w:before="0" w:after="0" w:line="240" w:lineRule="auto"/>
        <w:ind w:left="0" w:right="0" w:firstLine="740"/>
        <w:jc w:val="both"/>
      </w:pPr>
      <w:r>
        <w:rPr>
          <w:color w:val="000000"/>
          <w:spacing w:val="0"/>
          <w:w w:val="100"/>
          <w:position w:val="0"/>
          <w:shd w:val="clear" w:color="auto" w:fill="auto"/>
          <w:lang w:val="ru-RU" w:eastAsia="ru-RU" w:bidi="ru-RU"/>
        </w:rP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 (процентов): 2026 год - 10,0; 2027 год - 10,0; 2028 год - 10,0;</w:t>
      </w:r>
    </w:p>
    <w:p>
      <w:pPr>
        <w:pStyle w:val="Style4"/>
        <w:keepNext w:val="0"/>
        <w:keepLines w:val="0"/>
        <w:widowControl w:val="0"/>
        <w:numPr>
          <w:ilvl w:val="0"/>
          <w:numId w:val="127"/>
        </w:numPr>
        <w:shd w:val="clear" w:color="auto" w:fill="auto"/>
        <w:tabs>
          <w:tab w:pos="1210" w:val="left"/>
        </w:tabs>
        <w:bidi w:val="0"/>
        <w:spacing w:before="0" w:after="0" w:line="240" w:lineRule="auto"/>
        <w:ind w:left="0" w:right="0" w:firstLine="740"/>
        <w:jc w:val="both"/>
      </w:pPr>
      <w:r>
        <w:rPr>
          <w:color w:val="000000"/>
          <w:spacing w:val="0"/>
          <w:w w:val="100"/>
          <w:position w:val="0"/>
          <w:shd w:val="clear" w:color="auto" w:fill="auto"/>
          <w:lang w:val="ru-RU" w:eastAsia="ru-RU" w:bidi="ru-RU"/>
        </w:rPr>
        <w:t>доля лиц репродуктивного возраста, прошедших диспансеризацию для оценки репродуктивного здоровья женщин и мужчин (процентов): 2026 год - 30,0 (женщины), 30,0 (мужчины); 2027 год - 30,0 (женщины), 30,0 (мужчины); 2028 год - 30,0 (женщины), 30,0 (мужчины);</w:t>
      </w:r>
    </w:p>
    <w:p>
      <w:pPr>
        <w:pStyle w:val="Style4"/>
        <w:keepNext w:val="0"/>
        <w:keepLines w:val="0"/>
        <w:widowControl w:val="0"/>
        <w:numPr>
          <w:ilvl w:val="0"/>
          <w:numId w:val="127"/>
        </w:numPr>
        <w:shd w:val="clear" w:color="auto" w:fill="auto"/>
        <w:tabs>
          <w:tab w:pos="1215" w:val="left"/>
        </w:tabs>
        <w:bidi w:val="0"/>
        <w:spacing w:before="0" w:after="0" w:line="240" w:lineRule="auto"/>
        <w:ind w:left="0" w:right="0" w:firstLine="740"/>
        <w:jc w:val="both"/>
      </w:pPr>
      <w:r>
        <w:rPr>
          <w:color w:val="000000"/>
          <w:spacing w:val="0"/>
          <w:w w:val="100"/>
          <w:position w:val="0"/>
          <w:shd w:val="clear" w:color="auto" w:fill="auto"/>
          <w:lang w:val="ru-RU" w:eastAsia="ru-RU" w:bidi="ru-RU"/>
        </w:rPr>
        <w:t>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 (процентов): 2026 год - 100; 2027 год - 100; 2028 год-100;</w:t>
      </w:r>
    </w:p>
    <w:p>
      <w:pPr>
        <w:pStyle w:val="Style4"/>
        <w:keepNext w:val="0"/>
        <w:keepLines w:val="0"/>
        <w:widowControl w:val="0"/>
        <w:numPr>
          <w:ilvl w:val="0"/>
          <w:numId w:val="127"/>
        </w:numPr>
        <w:shd w:val="clear" w:color="auto" w:fill="auto"/>
        <w:tabs>
          <w:tab w:pos="1210" w:val="left"/>
        </w:tabs>
        <w:bidi w:val="0"/>
        <w:spacing w:before="0" w:after="0" w:line="240" w:lineRule="auto"/>
        <w:ind w:left="0" w:right="0" w:firstLine="740"/>
        <w:jc w:val="both"/>
      </w:pPr>
      <w:r>
        <w:rPr>
          <w:color w:val="000000"/>
          <w:spacing w:val="0"/>
          <w:w w:val="100"/>
          <w:position w:val="0"/>
          <w:shd w:val="clear" w:color="auto" w:fill="auto"/>
          <w:lang w:val="ru-RU" w:eastAsia="ru-RU" w:bidi="ru-RU"/>
        </w:rPr>
        <w:t>число циклов экстракорпорального оплодотворения, выполняемых медицинской организацией, в течение одного года: 2026 год - 708; 2027 год - 712; 2028 год-718;</w:t>
      </w:r>
    </w:p>
    <w:p>
      <w:pPr>
        <w:pStyle w:val="Style4"/>
        <w:keepNext w:val="0"/>
        <w:keepLines w:val="0"/>
        <w:widowControl w:val="0"/>
        <w:numPr>
          <w:ilvl w:val="0"/>
          <w:numId w:val="127"/>
        </w:numPr>
        <w:shd w:val="clear" w:color="auto" w:fill="auto"/>
        <w:tabs>
          <w:tab w:pos="1210" w:val="left"/>
        </w:tabs>
        <w:bidi w:val="0"/>
        <w:spacing w:before="0" w:after="0" w:line="240" w:lineRule="auto"/>
        <w:ind w:left="0" w:right="0" w:firstLine="740"/>
        <w:jc w:val="both"/>
      </w:pPr>
      <w:r>
        <w:rPr>
          <w:color w:val="000000"/>
          <w:spacing w:val="0"/>
          <w:w w:val="100"/>
          <w:position w:val="0"/>
          <w:shd w:val="clear" w:color="auto" w:fill="auto"/>
          <w:lang w:val="ru-RU" w:eastAsia="ru-RU" w:bidi="ru-RU"/>
        </w:rPr>
        <w:t>доля случаев экстракорпорального оплодотворения, по результатам которого у женщины наступила беременность (процентов): 2026 год - 34,5; 2027 год - 34,6; 2028 год - 34,7;</w:t>
      </w:r>
    </w:p>
    <w:p>
      <w:pPr>
        <w:pStyle w:val="Style4"/>
        <w:keepNext w:val="0"/>
        <w:keepLines w:val="0"/>
        <w:widowControl w:val="0"/>
        <w:numPr>
          <w:ilvl w:val="0"/>
          <w:numId w:val="127"/>
        </w:numPr>
        <w:shd w:val="clear" w:color="auto" w:fill="auto"/>
        <w:tabs>
          <w:tab w:pos="1210"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 (процентов): 2026 год - 32,9; 2027 год - 33,0; 2028 год - 33,0;</w:t>
      </w:r>
    </w:p>
    <w:p>
      <w:pPr>
        <w:pStyle w:val="Style4"/>
        <w:keepNext w:val="0"/>
        <w:keepLines w:val="0"/>
        <w:widowControl w:val="0"/>
        <w:numPr>
          <w:ilvl w:val="0"/>
          <w:numId w:val="127"/>
        </w:numPr>
        <w:shd w:val="clear" w:color="auto" w:fill="auto"/>
        <w:tabs>
          <w:tab w:pos="1210"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Программы (единиц): 2026 год - 91; 2027 год - 91; 2028 год-91;</w:t>
      </w:r>
    </w:p>
    <w:p>
      <w:pPr>
        <w:pStyle w:val="Style4"/>
        <w:keepNext w:val="0"/>
        <w:keepLines w:val="0"/>
        <w:widowControl w:val="0"/>
        <w:numPr>
          <w:ilvl w:val="0"/>
          <w:numId w:val="127"/>
        </w:numPr>
        <w:shd w:val="clear" w:color="auto" w:fill="auto"/>
        <w:tabs>
          <w:tab w:pos="1215"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2026 год - 66,0; 2027 год - 67,0; 2028 год - 68,0;</w:t>
      </w:r>
    </w:p>
    <w:p>
      <w:pPr>
        <w:pStyle w:val="Style4"/>
        <w:keepNext w:val="0"/>
        <w:keepLines w:val="0"/>
        <w:widowControl w:val="0"/>
        <w:numPr>
          <w:ilvl w:val="0"/>
          <w:numId w:val="127"/>
        </w:numPr>
        <w:shd w:val="clear" w:color="auto" w:fill="auto"/>
        <w:tabs>
          <w:tab w:pos="1215"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доля пациентов с диагнозом «хроническая сердечная недостаточность», находящихся под диспансерным наблюдением, получающих лекарственное обеспечение (процентов): 2026 год - 71,0; 2027 год - 71,0; 2028 год-71,0;</w:t>
      </w:r>
    </w:p>
    <w:p>
      <w:pPr>
        <w:pStyle w:val="Style4"/>
        <w:keepNext w:val="0"/>
        <w:keepLines w:val="0"/>
        <w:widowControl w:val="0"/>
        <w:numPr>
          <w:ilvl w:val="0"/>
          <w:numId w:val="127"/>
        </w:numPr>
        <w:shd w:val="clear" w:color="auto" w:fill="auto"/>
        <w:tabs>
          <w:tab w:pos="1210"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охват диспансерным наблюдением граждан, состоящих на учете в медицинской организации с диагнозом «гипертоническая болезнь» (процентов): 2026 год - 75,0; 2027 год - 78,0; 2028 год - 80,0;</w:t>
      </w:r>
    </w:p>
    <w:p>
      <w:pPr>
        <w:pStyle w:val="Style4"/>
        <w:keepNext w:val="0"/>
        <w:keepLines w:val="0"/>
        <w:widowControl w:val="0"/>
        <w:numPr>
          <w:ilvl w:val="0"/>
          <w:numId w:val="127"/>
        </w:numPr>
        <w:shd w:val="clear" w:color="auto" w:fill="auto"/>
        <w:tabs>
          <w:tab w:pos="1210"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охват диспансерным наблюдением граждан, состоящих на учете в медицинской организации с диагнозом «сахарный диабет» (процентов): 2026 год - 81,0; 2027 год - 82,0; 2028 год - 83,0;</w:t>
      </w:r>
    </w:p>
    <w:p>
      <w:pPr>
        <w:pStyle w:val="Style4"/>
        <w:keepNext w:val="0"/>
        <w:keepLines w:val="0"/>
        <w:widowControl w:val="0"/>
        <w:numPr>
          <w:ilvl w:val="0"/>
          <w:numId w:val="127"/>
        </w:numPr>
        <w:shd w:val="clear" w:color="auto" w:fill="auto"/>
        <w:tabs>
          <w:tab w:pos="1210"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количество пациентов с гепатитом С, получивших противовирусную терапию, на 100 тыс. населения в год (единиц): 2026 год - 43,69; 2027 год - 44,08; 2028 год-44,08;</w:t>
      </w:r>
    </w:p>
    <w:p>
      <w:pPr>
        <w:pStyle w:val="Style4"/>
        <w:keepNext w:val="0"/>
        <w:keepLines w:val="0"/>
        <w:widowControl w:val="0"/>
        <w:numPr>
          <w:ilvl w:val="0"/>
          <w:numId w:val="127"/>
        </w:numPr>
        <w:shd w:val="clear" w:color="auto" w:fill="auto"/>
        <w:tabs>
          <w:tab w:pos="1210"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доля ветеранов боевых действий, получивших паллиативную медицинскую помощь и (или) лечебное (энтеральное) питание, из числа нуждающихся (процентов): 2026 год - 100,0; 2027 год - 100,0; 2028 год - 100,0;</w:t>
      </w:r>
    </w:p>
    <w:p>
      <w:pPr>
        <w:pStyle w:val="Style4"/>
        <w:keepNext w:val="0"/>
        <w:keepLines w:val="0"/>
        <w:widowControl w:val="0"/>
        <w:numPr>
          <w:ilvl w:val="0"/>
          <w:numId w:val="127"/>
        </w:numPr>
        <w:shd w:val="clear" w:color="auto" w:fill="auto"/>
        <w:tabs>
          <w:tab w:pos="1210"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 (процентов): 2026 год - 60,0; 2027 год - 60,5; 2028 год - 61,0.</w:t>
      </w:r>
    </w:p>
    <w:p>
      <w:pPr>
        <w:pStyle w:val="Style4"/>
        <w:keepNext w:val="0"/>
        <w:keepLines w:val="0"/>
        <w:widowControl w:val="0"/>
        <w:numPr>
          <w:ilvl w:val="0"/>
          <w:numId w:val="127"/>
        </w:numPr>
        <w:shd w:val="clear" w:color="auto" w:fill="auto"/>
        <w:tabs>
          <w:tab w:pos="1210"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направлено к врачу-гериатру не менее 10 % пациентов старше 70 лет после проведенного профилактического медицинского осмотра и диспансеризации определенных групп взрослого населения: 2026 год - 10,0; 2027 год - 10,2; 2028 год - 10,3;</w:t>
      </w:r>
    </w:p>
    <w:p>
      <w:pPr>
        <w:pStyle w:val="Style4"/>
        <w:keepNext w:val="0"/>
        <w:keepLines w:val="0"/>
        <w:widowControl w:val="0"/>
        <w:numPr>
          <w:ilvl w:val="0"/>
          <w:numId w:val="127"/>
        </w:numPr>
        <w:shd w:val="clear" w:color="auto" w:fill="auto"/>
        <w:tabs>
          <w:tab w:pos="1206"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доля пациентов старше 65 лет, взятых на диспансерное наблюдение с диагнозом «Остеопороз с патологическим переломом» (код МКБ-10 - М80), «Остеопороз без патологического перелома» (код МКБ-10 - М81): 2026 год - 0,1; 2027 год - 0,2; 2028 год - 0,3;</w:t>
      </w:r>
    </w:p>
    <w:p>
      <w:pPr>
        <w:pStyle w:val="Style4"/>
        <w:keepNext w:val="0"/>
        <w:keepLines w:val="0"/>
        <w:widowControl w:val="0"/>
        <w:numPr>
          <w:ilvl w:val="0"/>
          <w:numId w:val="127"/>
        </w:numPr>
        <w:shd w:val="clear" w:color="auto" w:fill="auto"/>
        <w:tabs>
          <w:tab w:pos="1215"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доля пациентов старше 65 лет, госпитализированных с низкоэнергетическим переломом проксимального отдела бедренной кости, которым установлен сопутствующий диагноз остеопороз и назначена базисная и патогенетическая терапия остеопороза в соответствии с клиническими рекомендациями: 2026 год - 7,0; 2027 год - 7,1; 2028 год - 7,2;</w:t>
      </w:r>
    </w:p>
    <w:p>
      <w:pPr>
        <w:pStyle w:val="Style4"/>
        <w:keepNext w:val="0"/>
        <w:keepLines w:val="0"/>
        <w:widowControl w:val="0"/>
        <w:numPr>
          <w:ilvl w:val="0"/>
          <w:numId w:val="127"/>
        </w:numPr>
        <w:shd w:val="clear" w:color="auto" w:fill="auto"/>
        <w:tabs>
          <w:tab w:pos="1210"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доля пациентов старше 65 лет, направленных к врачу-офтальмологу после проведенного профилактического медицинского осмотра и диспансеризации определенных групп взрослого населения: 2026 год - 0,8; 2027 год - 0,9; 2028 год - 1,0;</w:t>
      </w:r>
    </w:p>
    <w:p>
      <w:pPr>
        <w:pStyle w:val="Style4"/>
        <w:keepNext w:val="0"/>
        <w:keepLines w:val="0"/>
        <w:widowControl w:val="0"/>
        <w:numPr>
          <w:ilvl w:val="0"/>
          <w:numId w:val="127"/>
        </w:numPr>
        <w:shd w:val="clear" w:color="auto" w:fill="auto"/>
        <w:tabs>
          <w:tab w:pos="1210"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доля пациентов старше 65 лет, направленных к врачу-неврологу или врачу-психиатру после проведенного профилактического медицинского осмотра и диспансеризации определенных групп взрослого населения: 2026 год - 1,1; 2027 год -1,2; 2028 год - 1,2;</w:t>
      </w:r>
    </w:p>
    <w:p>
      <w:pPr>
        <w:pStyle w:val="Style4"/>
        <w:keepNext w:val="0"/>
        <w:keepLines w:val="0"/>
        <w:widowControl w:val="0"/>
        <w:numPr>
          <w:ilvl w:val="0"/>
          <w:numId w:val="127"/>
        </w:numPr>
        <w:shd w:val="clear" w:color="auto" w:fill="auto"/>
        <w:tabs>
          <w:tab w:pos="1210"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доля пациентов старше 65 лет, направленных к врачу- оториноларингологу или врачу - сурдологу-оториноларингологу после проведенного профилактического медицинского осмотра и диспансеризации определенных групп взрослого населения: 2026 год - 0,1; 2027 год - 0,2; 2028 год-0,3.</w:t>
      </w:r>
    </w:p>
    <w:p>
      <w:pPr>
        <w:pStyle w:val="Style4"/>
        <w:keepNext w:val="0"/>
        <w:keepLines w:val="0"/>
        <w:widowControl w:val="0"/>
        <w:numPr>
          <w:ilvl w:val="0"/>
          <w:numId w:val="123"/>
        </w:numPr>
        <w:shd w:val="clear" w:color="auto" w:fill="auto"/>
        <w:tabs>
          <w:tab w:pos="1316" w:val="left"/>
        </w:tabs>
        <w:bidi w:val="0"/>
        <w:spacing w:before="0" w:after="0" w:line="240" w:lineRule="auto"/>
        <w:ind w:left="0" w:right="0" w:firstLine="720"/>
        <w:jc w:val="both"/>
        <w:sectPr>
          <w:headerReference w:type="default" r:id="rId19"/>
          <w:footnotePr>
            <w:pos w:val="pageBottom"/>
            <w:numFmt w:val="decimal"/>
            <w:numRestart w:val="continuous"/>
          </w:footnotePr>
          <w:pgSz w:w="11900" w:h="16840"/>
          <w:pgMar w:top="1129" w:right="684" w:bottom="1196" w:left="1529" w:header="0" w:footer="768" w:gutter="0"/>
          <w:pgNumType w:start="59"/>
          <w:cols w:space="720"/>
          <w:noEndnote/>
          <w:rtlGutter w:val="0"/>
          <w:docGrid w:linePitch="360"/>
        </w:sectPr>
      </w:pPr>
      <w:r>
        <w:rPr>
          <w:color w:val="000000"/>
          <w:spacing w:val="0"/>
          <w:w w:val="100"/>
          <w:position w:val="0"/>
          <w:shd w:val="clear" w:color="auto" w:fill="auto"/>
          <w:lang w:val="ru-RU" w:eastAsia="ru-RU" w:bidi="ru-RU"/>
        </w:rPr>
        <w:t>Оценка достижения критериев доступности и качества медицинской помощи осуществляется 1 раз в полгода с направлением соответствующих данных в Министерство здравоохранения Российской Федерации.</w:t>
      </w:r>
    </w:p>
    <w:p>
      <w:pPr>
        <w:pStyle w:val="Style4"/>
        <w:keepNext w:val="0"/>
        <w:keepLines w:val="0"/>
        <w:widowControl w:val="0"/>
        <w:shd w:val="clear" w:color="auto" w:fill="auto"/>
        <w:bidi w:val="0"/>
        <w:spacing w:before="0" w:after="360" w:line="240" w:lineRule="auto"/>
        <w:ind w:left="8140" w:right="0" w:firstLine="0"/>
        <w:jc w:val="right"/>
      </w:pPr>
      <w:r>
        <w:rPr>
          <w:color w:val="000000"/>
          <w:spacing w:val="0"/>
          <w:w w:val="100"/>
          <w:position w:val="0"/>
          <w:shd w:val="clear" w:color="auto" w:fill="auto"/>
          <w:lang w:val="ru-RU" w:eastAsia="ru-RU" w:bidi="ru-RU"/>
        </w:rPr>
        <w:t>Приложение № 1 к Территориальной программе государственных гарантий бесплатного оказания гражданам медицинской помощи в Омской области на 2026 год и на плановый период 2027 и 2028 годов</w:t>
      </w:r>
    </w:p>
    <w:p>
      <w:pPr>
        <w:pStyle w:val="Style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ПЕРЕЧЕНЬ</w:t>
      </w:r>
    </w:p>
    <w:p>
      <w:pPr>
        <w:pStyle w:val="Style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лекарственных препаратов для медицинского применения, отпускаемых населению в соответствии с Перечнем</w:t>
        <w:br/>
        <w:t>групп населения и категорий заболеваний, при амбулаторном лечении которых лекарственные средства и</w:t>
        <w:br/>
        <w:t>изделия медицинского назначения отпускаются по рецептам врачей бесплатно, а также в соответствии</w:t>
      </w:r>
    </w:p>
    <w:p>
      <w:pPr>
        <w:pStyle w:val="Style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с Перечнем групп населения, при амбулаторном лечении которых лекарственные средства</w:t>
        <w:br/>
        <w:t>отпускаются по рецептам врачей с пятидесятипроцентной скидкой со свободных цен</w:t>
      </w:r>
    </w:p>
    <w:p>
      <w:pPr>
        <w:pStyle w:val="Style4"/>
        <w:keepNext w:val="0"/>
        <w:keepLines w:val="0"/>
        <w:widowControl w:val="0"/>
        <w:shd w:val="clear" w:color="auto" w:fill="auto"/>
        <w:bidi w:val="0"/>
        <w:spacing w:before="0" w:after="240" w:line="240" w:lineRule="auto"/>
        <w:ind w:left="0" w:right="0" w:firstLine="0"/>
        <w:jc w:val="right"/>
      </w:pPr>
      <w:r>
        <w:rPr>
          <w:color w:val="000000"/>
          <w:spacing w:val="0"/>
          <w:w w:val="100"/>
          <w:position w:val="0"/>
          <w:shd w:val="clear" w:color="auto" w:fill="auto"/>
          <w:lang w:val="ru-RU" w:eastAsia="ru-RU" w:bidi="ru-RU"/>
        </w:rPr>
        <w:t>Таблица № 1</w:t>
      </w:r>
    </w:p>
    <w:tbl>
      <w:tblPr>
        <w:tblOverlap w:val="never"/>
        <w:jc w:val="center"/>
        <w:tblLayout w:type="fixed"/>
      </w:tblPr>
      <w:tblGrid>
        <w:gridCol w:w="1138"/>
        <w:gridCol w:w="4651"/>
        <w:gridCol w:w="3691"/>
        <w:gridCol w:w="4565"/>
      </w:tblGrid>
      <w:tr>
        <w:trPr>
          <w:trHeight w:val="427"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Пищеварительный тракт и обмен веществ</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А02</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для лечения заболеваний, связанных с нарушением кислотности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835"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А02В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для лечения язвенной болезни желудка и двенадцатиперстной кишки и гастроэзофагеальной рефлюксной болезни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55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А02ВА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Блокаторы Н2-гистаминовых рецепторов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Фамотидин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1296"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А02ВС</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Ингибиторы протонного насоса</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Омепразол</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кишечнорастворимые;</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суспензии для приема внутрь;</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bl>
    <w:p>
      <w:pPr>
        <w:sectPr>
          <w:headerReference w:type="default" r:id="rId20"/>
          <w:footnotePr>
            <w:pos w:val="pageBottom"/>
            <w:numFmt w:val="decimal"/>
            <w:numRestart w:val="continuous"/>
          </w:footnotePr>
          <w:pgSz w:w="16840" w:h="11900" w:orient="landscape"/>
          <w:pgMar w:top="1128" w:right="1166" w:bottom="779" w:left="1533" w:header="700" w:footer="351" w:gutter="0"/>
          <w:pgNumType w:start="74"/>
          <w:cols w:space="720"/>
          <w:noEndnote/>
          <w:rtlGutter w:val="0"/>
          <w:docGrid w:linePitch="360"/>
        </w:sectPr>
      </w:pP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1555"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Эзомепразол*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кишечнорастворимые;</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кишечнорастворимые, покрытые пленочной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кишечнорастворимой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tc>
      </w:tr>
      <w:tr>
        <w:trPr>
          <w:trHeight w:val="835"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А02ВХ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препараты для лечения язвенной болезни желудка и двенадцатиперстной кишки и гастроэзофагеальной рефлюксной болезни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Висмута трикалия дицитрат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АОЗ</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для лечения функциональных нарушений желудочно-кишечного тракта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АОЗА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для лечения функциональных нарушений желудочно-кишечного тракта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555"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АОЗАА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Синтетические антихолинергические средства, эфиры с третичной аминогруппой</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Мебеверин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307"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с пролонгированным высвобождением; таблетки, покрытые оболочкой;</w:t>
            </w:r>
          </w:p>
          <w:p>
            <w:pPr>
              <w:pStyle w:val="Style23"/>
              <w:keepNext w:val="0"/>
              <w:keepLines w:val="0"/>
              <w:widowControl w:val="0"/>
              <w:shd w:val="clear" w:color="auto" w:fill="auto"/>
              <w:bidi w:val="0"/>
              <w:spacing w:before="0" w:after="0" w:line="307"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пролонгированным высвобождением, покрытые пленочной оболочкой</w:t>
            </w:r>
          </w:p>
        </w:tc>
      </w:tr>
      <w:tr>
        <w:trPr>
          <w:trHeight w:val="59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Платифиллин*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1550"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АОЗАЭ</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Папаверин и его производные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Дротаверин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и внутримышечного введения*;</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АОЗВ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белладонны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55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АОЗВА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Алкалоиды белладонны, третичные амины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Атропин*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глазные;</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w:t>
            </w:r>
          </w:p>
        </w:tc>
      </w:tr>
      <w:tr>
        <w:trPr>
          <w:trHeight w:val="634"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АОЗР</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Стимуляторы моторики желудочно-кишечного тракта</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1550"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АОЗЕА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Стимуляторы моторики желудочно-кишечного тракта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Метоклопрамид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и внутримышечного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приема внутрь;</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А04</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Противорвотные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А04А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Противорвотные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08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А04АА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Блокаторы серотониновых 5НТЗ-рецепторов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Ондансетрон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и внутримышечного введения*;</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сироп;</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суппозитории ректальные;</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лиофилизированные;</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А05</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для лечения заболеваний печени и желчевыводящих путей</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А05А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для лечения заболеваний желчевыводящих путей</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080"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А05АА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желчных кислот</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Урсодезоксихолевая кислота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суспензия для приема внутрь;</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А05В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для лечения заболеваний печени, липотропные средства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34"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А05ВА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для лечения заболеваний печени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Фосфолипиды + глицирризиновая кислота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634"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Янтарная кислота + меглумин + инозин + метионин + никотинамид*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инфузий</w:t>
            </w:r>
          </w:p>
        </w:tc>
      </w:tr>
      <w:tr>
        <w:trPr>
          <w:trHeight w:val="432"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А06</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Слабительные средства</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А06А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Слабительные средства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493"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А06АВ</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Контактные слабительные средства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Бисакодил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Суппозитории ректальные;</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кишечнорастворимой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кишечнорастворимые, покрытые оболочкой</w:t>
            </w:r>
          </w:p>
        </w:tc>
      </w:tr>
      <w:tr>
        <w:trPr>
          <w:trHeight w:val="42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Сеннозиды А и В</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547"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А06АО</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Осмотические слабительные средства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Лактулоза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Сироп</w:t>
            </w:r>
          </w:p>
        </w:tc>
      </w:tr>
      <w:tr>
        <w:trPr>
          <w:trHeight w:val="1224"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Макрогол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раствора для приема внутрь;</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раствора для приема внутрь (для детей)</w:t>
            </w:r>
          </w:p>
        </w:tc>
      </w:tr>
      <w:tr>
        <w:trPr>
          <w:trHeight w:val="835"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А07</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Противодиарейные, кишечные</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противовоспалительные и противомикробные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А07В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Адсорбирующие кишечные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28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А07ВС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адсорбирующие кишечные препараты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Смектит диоктаэдрический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суспензии для приема внутрь;</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суспензия для приема внутрь;</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диспергируемые</w:t>
            </w: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А07О</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снижающие моторику желудочно- кишечного тракта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35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А07ОА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снижающие моторику желудочно- кишечного тракта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Лоперамид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жевательные;</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таблетки-лиофилизат</w:t>
            </w:r>
          </w:p>
        </w:tc>
      </w:tr>
      <w:tr>
        <w:trPr>
          <w:trHeight w:val="442"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А07Е</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Кишечные противовоспалительные препараты</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4603"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А07ЕС</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Аминосалициловая кислота и аналогичные препараты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Месалазин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Суппозитории ректальные;</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суспензия ректальная;</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кишечнорастворимые с пролонгированным высвобождением, покрытые пленочной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кишечнорастворимой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кишечнорастворимой пленочной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кишечнорастворимые, покрытые пленочной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пролонгированного действия;</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пролонгированным высвобождением;</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гранулы кишечнорастворимые с пролонгированным высвобождением, покрытые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гранулы с пролонгированным высвобождением для приема внутрь</w:t>
            </w:r>
          </w:p>
        </w:tc>
      </w:tr>
      <w:tr>
        <w:trPr>
          <w:trHeight w:val="74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Сульфасалазин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кишечнорастворимые, покрытые пленочной оболочкой;</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А07Б</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Противодиарейные микроорганизмы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506"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А07БА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Противодиарейные микроорганизмы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Бифидобактерии бифидум</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приема внутрь и местного применения;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суспензии для приема внутрь и местного применения;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приема внутрь;</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приема внутрь и местного применения;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суппозитории вагинальные и ректальные;</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696"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Пробиотик из бифидобактерий бифидум однокомпонентный сорбированный</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приема внутрь</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А09</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способствующие пищеварению, включая ферментные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А09А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способствующие пищеварению, включая ферментные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02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А09АА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Ферментные препараты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Панкреатин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Гранулы кишечнорастворимые;</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кишечнорастворимые;</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кишечнорастворимой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кишечнорастворимые, покрытые пленочной оболочкой</w:t>
            </w:r>
          </w:p>
        </w:tc>
      </w:tr>
      <w:tr>
        <w:trPr>
          <w:trHeight w:val="44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АЮ</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для лечения сахарного диабета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4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А10А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Инсулины и их аналоги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509"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А10АВ</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Инсулины короткого действия и их аналоги для инъекционного введения</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Инсулин аспарт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и внутривенного введения</w:t>
            </w:r>
          </w:p>
        </w:tc>
      </w:tr>
      <w:tr>
        <w:trPr>
          <w:trHeight w:val="504"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Инсулин глулизин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984"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Инсулин лизпро</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и подкожного введения;</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653"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Инсулин растворимый (человеческий генно-инженерный)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w:t>
            </w:r>
          </w:p>
        </w:tc>
      </w:tr>
      <w:tr>
        <w:trPr>
          <w:trHeight w:val="65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А10АС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Инсулины средней продолжительности действия и их аналоги для инъекционного введения</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Инсулин-изофан (человеческий генно- инженерный)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Суспензия для подкожного введения</w:t>
            </w:r>
          </w:p>
        </w:tc>
      </w:tr>
      <w:tr>
        <w:trPr>
          <w:trHeight w:val="442"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АЮАО</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Инсулин аспарт двухфазный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Суспензия для подкожного введения</w:t>
            </w:r>
          </w:p>
        </w:tc>
      </w:tr>
      <w:tr>
        <w:trPr>
          <w:trHeight w:val="446"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Инсулин деглудек + инсулин аспарт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662"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Инсулин двухфазный (человеческий генно-инженерный)</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Суспензия для подкожного введения</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518"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Инсулин лизпро двухфазный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Суспензия для подкожного введения</w:t>
            </w:r>
          </w:p>
        </w:tc>
      </w:tr>
      <w:tr>
        <w:trPr>
          <w:trHeight w:val="446"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А10АЕ</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Инсулины длительного действия и их аналоги для инъекционного введения</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Инсулин гларгин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45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Инсулин гларгин + ликсисенатид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4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Инсулин деглудек</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446"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Инсулин детемир</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470"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А10В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Гипогликемические препараты, кроме инсулинов</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4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А10ВА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Бигуаниды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Метформин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пролонгированного действия;</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пролонгированного действия, покрытые пленочной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пролонгированным высвобождением;</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пролонгированным высвобождением, покрытые пленочной оболочкой</w:t>
            </w:r>
          </w:p>
        </w:tc>
      </w:tr>
      <w:tr>
        <w:trPr>
          <w:trHeight w:val="547"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А10ВВ</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сульфонилмочевины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Глибенкламид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107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Гликлазид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модифицированным высвобождением;</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пролонгированным высвобождением</w:t>
            </w: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АЮВО</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Комбинированные препараты пероральных гипогликемических средств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Алоглиптин + пиоглитазон*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7"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А10ВН</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Ингибиторы дипептидилпептидазы-4 (ДПП-4)</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Алоглиптин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Вилдаглиптин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552"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Гозоглиптин</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542" w:hRule="exact"/>
        </w:trPr>
        <w:tc>
          <w:tcPr>
            <w:vMerge w:val="restart"/>
            <w:tcBorders>
              <w:top w:val="single" w:sz="4"/>
              <w:left w:val="single" w:sz="4"/>
            </w:tcBorders>
            <w:shd w:val="clear" w:color="auto" w:fill="auto"/>
            <w:vAlign w:val="top"/>
          </w:tcPr>
          <w:p>
            <w:pPr>
              <w:widowControl w:val="0"/>
              <w:rPr>
                <w:sz w:val="10"/>
                <w:szCs w:val="10"/>
              </w:rPr>
            </w:pPr>
          </w:p>
        </w:tc>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Линаглиптин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Саксаглиптин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8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Ситаглиптин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Эвоглиптин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2"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дюва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Аналоги глюкагоноподобного пептида-1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Дулаглутид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Ликсисенатид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Семаглутид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542"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А10ВК</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Ингибиторы натрийзависимого переносчика глюкозы 2 типа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Дапаглифлозин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Ипраглифлозин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Эмпаглифлозин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80"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Эртуглифлозин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А10ВХ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гипогликемические препараты, кроме инсулинов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Репаглинид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Витамины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А11С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Витамины А и О, включая их комбинации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829"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А11СА</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Витамин А</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Ретинол</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Драже;</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для приема внутрь и наружного применения;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мазь для наружного применения;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приема внутрь (масляный);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приема внутрь и наружного применения(масляный)</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542"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А11СС</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Витамин О и его аналоги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Альфакальцидол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для приема внутрь; капсулы</w:t>
            </w:r>
          </w:p>
        </w:tc>
      </w:tr>
      <w:tr>
        <w:trPr>
          <w:trHeight w:val="298"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Кальцитриол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600"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Колекальциферол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для приема внутрь;</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приема внутрь (масляный)</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А1Ю</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Витамин В1 и его комбинации с витаминами Ве и В12</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А1ЮА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Витамин В1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Тиамин*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внутримышечного введения</w:t>
            </w:r>
          </w:p>
        </w:tc>
      </w:tr>
      <w:tr>
        <w:trPr>
          <w:trHeight w:val="5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А116</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Аскорбиновая кислота (витамин С), включая комбинации с другими средствами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55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А116А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Аскорбиновая кислота (витамин 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Аскорбиновая кислота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Драже;</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для приема внутрь;</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пролонгированного действия;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раствора для приема внутрь;</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приема внутрь;</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и внутримышечного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А11Н</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витаминные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А11НА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витаминные препараты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Пиридоксин*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w:t>
            </w:r>
          </w:p>
        </w:tc>
      </w:tr>
      <w:tr>
        <w:trPr>
          <w:trHeight w:val="29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А12</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Минеральные добавки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А12А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кальция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9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А12АА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кальция</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Кальция глюконат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А12С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минеральные добавки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81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А12СХ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минеральные вещества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Калия и магния аспарагинат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37"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А14</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Анаболические средства системного действия</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А14А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Анаболические стероиды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75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А14АВ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эстрена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Нандролон*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внутримышечного введения (масляный)</w:t>
            </w:r>
          </w:p>
        </w:tc>
      </w:tr>
      <w:tr>
        <w:trPr>
          <w:trHeight w:val="840"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А16</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препараты для лечения заболеваний желудочно-кишечного тракта и нарушений обмена веществ</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835"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А16А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препараты для лечения заболеваний желудочно-кишечного тракта и нарушений обмена веществ</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493"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А16АА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Аминокислоты и их производные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Адеметионин*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кишечнорастворимые;</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кишечнорастворимые, покрытые пленочной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кишечнорастворимой оболочкой</w:t>
            </w:r>
          </w:p>
        </w:tc>
      </w:tr>
      <w:tr>
        <w:trPr>
          <w:trHeight w:val="749"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А16АВ</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Ферментные препараты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Агалсидаза альфа*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tc>
      </w:tr>
      <w:tr>
        <w:trPr>
          <w:trHeight w:val="74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Агалсидаза бета*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концентрата для приготовления раствора для инфузий</w:t>
            </w:r>
          </w:p>
        </w:tc>
      </w:tr>
      <w:tr>
        <w:trPr>
          <w:trHeight w:val="754"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Велаглюцераза альфа*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инфузий</w:t>
            </w:r>
          </w:p>
        </w:tc>
      </w:tr>
      <w:tr>
        <w:trPr>
          <w:trHeight w:val="74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Идурсульфаза*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tc>
      </w:tr>
      <w:tr>
        <w:trPr>
          <w:trHeight w:val="754"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Имиглюцераза*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инфузий</w:t>
            </w:r>
          </w:p>
        </w:tc>
      </w:tr>
      <w:tr>
        <w:trPr>
          <w:trHeight w:val="758"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Ларонидаза*</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tc>
      </w:tr>
    </w:tbl>
    <w:p>
      <w:pPr>
        <w:sectPr>
          <w:headerReference w:type="default" r:id="rId21"/>
          <w:footnotePr>
            <w:pos w:val="pageBottom"/>
            <w:numFmt w:val="decimal"/>
            <w:numRestart w:val="continuous"/>
          </w:footnotePr>
          <w:pgSz w:w="16840" w:h="11900" w:orient="landscape"/>
          <w:pgMar w:top="1128" w:right="1166" w:bottom="779" w:left="1533" w:header="0" w:footer="351" w:gutter="0"/>
          <w:pgNumType w:start="2"/>
          <w:cols w:space="720"/>
          <w:noEndnote/>
          <w:rtlGutter w:val="0"/>
          <w:docGrid w:linePitch="360"/>
        </w:sectPr>
      </w:pP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749" w:hRule="exact"/>
        </w:trPr>
        <w:tc>
          <w:tcPr>
            <w:vMerge w:val="restart"/>
            <w:tcBorders>
              <w:top w:val="single" w:sz="4"/>
              <w:left w:val="single" w:sz="4"/>
            </w:tcBorders>
            <w:shd w:val="clear" w:color="auto" w:fill="auto"/>
            <w:vAlign w:val="top"/>
          </w:tcPr>
          <w:p>
            <w:pPr>
              <w:widowControl w:val="0"/>
              <w:rPr>
                <w:sz w:val="10"/>
                <w:szCs w:val="10"/>
              </w:rPr>
            </w:pPr>
          </w:p>
        </w:tc>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Себелипаза альфа*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tc>
      </w:tr>
      <w:tr>
        <w:trPr>
          <w:trHeight w:val="754"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Талиглюцераза альфа*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концентрата для приготовления раствора для инфузий</w:t>
            </w:r>
          </w:p>
        </w:tc>
      </w:tr>
      <w:tr>
        <w:trPr>
          <w:trHeight w:val="542"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А16АХ</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Прочие препараты для лечения заболеваний желудочно-кишечного тракта и нарушений обмена веществ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Миглустат*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Нитизинон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806"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Сапроптерин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диспергируемые; таблетки растворимые</w:t>
            </w:r>
          </w:p>
        </w:tc>
      </w:tr>
      <w:tr>
        <w:trPr>
          <w:trHeight w:val="2563"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Тиоктовая кислота*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внутривенного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инфузий;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Кровь и система кроветворения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В01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Антитромботические средства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30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В01А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Антитромботические средства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В01АА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Антагонисты витамина К</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Варфарин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В01АВ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Группа гепарина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Парнапарин натрия*</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547"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В01АС</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Антиагреганты, кроме гепарина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Клопидогрел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52"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Селексипаг*</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bl>
    <w:p>
      <w:pPr>
        <w:sectPr>
          <w:headerReference w:type="default" r:id="rId22"/>
          <w:footnotePr>
            <w:pos w:val="pageBottom"/>
            <w:numFmt w:val="decimal"/>
            <w:numRestart w:val="continuous"/>
          </w:footnotePr>
          <w:pgSz w:w="16840" w:h="11900" w:orient="landscape"/>
          <w:pgMar w:top="1128" w:right="1166" w:bottom="779" w:left="1533" w:header="700" w:footer="351" w:gutter="0"/>
          <w:pgNumType w:start="84"/>
          <w:cols w:space="720"/>
          <w:noEndnote/>
          <w:rtlGutter w:val="0"/>
          <w:docGrid w:linePitch="360"/>
        </w:sectPr>
      </w:pP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542"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Тикагрелор*</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8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В01АЕ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Прямые ингибиторы тромбина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Дабигатрана этексилат*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566"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В01АР</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Прямые ингибиторы фактора Ха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Ап икса бан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66"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Ривароксабан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90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М-(5-Хлорпиридин-2-ил)-5-метил-2-(4-(М- метилацетимидамидо) бензамидо) бензамида гидрохлорид*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кишечнорастворимые, покрытые пленочной оболочкой</w:t>
            </w:r>
          </w:p>
        </w:tc>
      </w:tr>
      <w:tr>
        <w:trPr>
          <w:trHeight w:val="44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В02</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Гемостатические средства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4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В02А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Антифибринолитические средства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835"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В02АА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Аминокислоты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Транексамовая кислота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введения*;</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4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В02В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Витамин К и другие гемостатики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56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В02ВА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Витамин К</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Менадиона натрия бисульфит*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внутримышечного введения</w:t>
            </w:r>
          </w:p>
        </w:tc>
      </w:tr>
      <w:tr>
        <w:trPr>
          <w:trHeight w:val="44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В02ВС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Местные гемостатики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Фибриноген + тромбин*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Губка</w:t>
            </w:r>
          </w:p>
        </w:tc>
      </w:tr>
      <w:tr>
        <w:trPr>
          <w:trHeight w:val="715"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В02ВО</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Факторы свертывания крови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Антиингибиторный коагулянтный комплекс*</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инфузий</w:t>
            </w:r>
          </w:p>
        </w:tc>
      </w:tr>
      <w:tr>
        <w:trPr>
          <w:trHeight w:val="586"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Мороктоког альфа*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внутривенного введения</w:t>
            </w:r>
          </w:p>
        </w:tc>
      </w:tr>
      <w:tr>
        <w:trPr>
          <w:trHeight w:val="710"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Нонаког альфа*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внутривенного введения</w:t>
            </w:r>
          </w:p>
        </w:tc>
      </w:tr>
      <w:tr>
        <w:trPr>
          <w:trHeight w:val="725"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Октоког альфа*</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внутривенного введения</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874" w:hRule="exact"/>
        </w:trPr>
        <w:tc>
          <w:tcPr>
            <w:vMerge w:val="restart"/>
            <w:tcBorders>
              <w:top w:val="single" w:sz="4"/>
              <w:left w:val="single" w:sz="4"/>
            </w:tcBorders>
            <w:shd w:val="clear" w:color="auto" w:fill="auto"/>
            <w:vAlign w:val="top"/>
          </w:tcPr>
          <w:p>
            <w:pPr>
              <w:widowControl w:val="0"/>
              <w:rPr>
                <w:sz w:val="10"/>
                <w:szCs w:val="10"/>
              </w:rPr>
            </w:pPr>
          </w:p>
        </w:tc>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Симоктоког альфа (фактор свертывания крови VIII человеческий рекомбинантный)*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внутривенного введения</w:t>
            </w:r>
          </w:p>
        </w:tc>
      </w:tr>
      <w:tr>
        <w:trPr>
          <w:trHeight w:val="773"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Фактор свертывания крови VII*</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внутривенного введения</w:t>
            </w:r>
          </w:p>
        </w:tc>
      </w:tr>
      <w:tr>
        <w:trPr>
          <w:trHeight w:val="1430"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Фактор свертывания крови VIII*</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внутривенного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инфузий;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инфузий (замороженный)</w:t>
            </w:r>
          </w:p>
        </w:tc>
      </w:tr>
      <w:tr>
        <w:trPr>
          <w:trHeight w:val="117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Фактор свертывания крови IX*</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внутривенного введения;</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инфузий</w:t>
            </w:r>
          </w:p>
        </w:tc>
      </w:tr>
      <w:tr>
        <w:trPr>
          <w:trHeight w:val="83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Факторы свертывания крови II, VII, IX, X в комбинации (протромбиновый комплекс)*</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внутривенного введения</w:t>
            </w:r>
          </w:p>
        </w:tc>
      </w:tr>
      <w:tr>
        <w:trPr>
          <w:trHeight w:val="62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Факторы свертывания крови II, IX и X в комбинации*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инфузий</w:t>
            </w:r>
          </w:p>
        </w:tc>
      </w:tr>
      <w:tr>
        <w:trPr>
          <w:trHeight w:val="634"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Фактор свертывания крови VIII + фактор Виллебранда*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внутривенного введения</w:t>
            </w:r>
          </w:p>
        </w:tc>
      </w:tr>
      <w:tr>
        <w:trPr>
          <w:trHeight w:val="69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Эптаког альфа (активированный)*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внутривенного введения</w:t>
            </w:r>
          </w:p>
        </w:tc>
      </w:tr>
      <w:tr>
        <w:trPr>
          <w:trHeight w:val="586"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Эфмороктоког альфа*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внутривенного введения</w:t>
            </w:r>
          </w:p>
        </w:tc>
      </w:tr>
      <w:tr>
        <w:trPr>
          <w:trHeight w:val="955"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В02ВХ</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системные гемостатики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Ромиплостим*</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подкожного введения;</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раствора для подкожного введения</w:t>
            </w:r>
          </w:p>
        </w:tc>
      </w:tr>
      <w:tr>
        <w:trPr>
          <w:trHeight w:val="494"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Элтромбопаг*</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485" w:hRule="exact"/>
        </w:trPr>
        <w:tc>
          <w:tcPr>
            <w:vMerge w:val="restart"/>
            <w:tcBorders>
              <w:top w:val="single" w:sz="4"/>
              <w:left w:val="single" w:sz="4"/>
            </w:tcBorders>
            <w:shd w:val="clear" w:color="auto" w:fill="auto"/>
            <w:vAlign w:val="top"/>
          </w:tcPr>
          <w:p>
            <w:pPr>
              <w:widowControl w:val="0"/>
              <w:rPr>
                <w:sz w:val="10"/>
                <w:szCs w:val="10"/>
              </w:rPr>
            </w:pPr>
          </w:p>
        </w:tc>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Эмицизумаб*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1430"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Этамзилат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и внутримышечного введения;</w:t>
            </w:r>
          </w:p>
          <w:p>
            <w:pPr>
              <w:pStyle w:val="Style23"/>
              <w:keepNext w:val="0"/>
              <w:keepLines w:val="0"/>
              <w:widowControl w:val="0"/>
              <w:shd w:val="clear" w:color="auto" w:fill="auto"/>
              <w:bidi w:val="0"/>
              <w:spacing w:before="0" w:after="0" w:line="307"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w:t>
            </w:r>
          </w:p>
          <w:p>
            <w:pPr>
              <w:pStyle w:val="Style23"/>
              <w:keepNext w:val="0"/>
              <w:keepLines w:val="0"/>
              <w:widowControl w:val="0"/>
              <w:shd w:val="clear" w:color="auto" w:fill="auto"/>
              <w:bidi w:val="0"/>
              <w:spacing w:before="0" w:after="0" w:line="307"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 и наружного применения*; таблетки</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ВОЗ</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Антианемические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ВОЗА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железа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0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ВОЗАВ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Пероральные препараты трехвалентного железа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Железа (III) гидроксид полимальтозат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для приема внутрь; сироп;</w:t>
            </w:r>
          </w:p>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жевательные</w:t>
            </w:r>
          </w:p>
        </w:tc>
      </w:tr>
      <w:tr>
        <w:trPr>
          <w:trHeight w:val="586"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ВОЗАС</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Парентеральные препараты трехвалентного железа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Железа (III) гидроксид олигоизомальтозат*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введения</w:t>
            </w:r>
          </w:p>
        </w:tc>
      </w:tr>
      <w:tr>
        <w:trPr>
          <w:trHeight w:val="62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Железа (III) гидроксида сахарозный комплекс*</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введения</w:t>
            </w:r>
          </w:p>
        </w:tc>
      </w:tr>
      <w:tr>
        <w:trPr>
          <w:trHeight w:val="42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Железа карбоксимальтозат*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введения</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ВОЗВ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Витамин В12 и фолиевая кислота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ВОЗВА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Витамин В12 (цианокобаламин и его аналоги)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Цианокобаламин*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w:t>
            </w:r>
          </w:p>
        </w:tc>
      </w:tr>
      <w:tr>
        <w:trPr>
          <w:trHeight w:val="75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ВОЗВВ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Фолиевая кислота и ее производные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Фолиевая кислота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возх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антианемические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547"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ВОЗХА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антианемические препараты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Дарбэпоэтин альфа*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w:t>
            </w:r>
          </w:p>
        </w:tc>
      </w:tr>
      <w:tr>
        <w:trPr>
          <w:trHeight w:val="62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Метоксиполиэтиленгликоль- эпоэтин бета*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и подкожного введения</w:t>
            </w:r>
          </w:p>
        </w:tc>
      </w:tr>
      <w:tr>
        <w:trPr>
          <w:trHeight w:val="432"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Роксадустат</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422" w:hRule="exact"/>
        </w:trPr>
        <w:tc>
          <w:tcPr>
            <w:vMerge w:val="restart"/>
            <w:tcBorders>
              <w:top w:val="single" w:sz="4"/>
              <w:left w:val="single" w:sz="4"/>
            </w:tcBorders>
            <w:shd w:val="clear" w:color="auto" w:fill="auto"/>
            <w:vAlign w:val="top"/>
          </w:tcPr>
          <w:p>
            <w:pPr>
              <w:widowControl w:val="0"/>
              <w:rPr>
                <w:sz w:val="10"/>
                <w:szCs w:val="10"/>
              </w:rPr>
            </w:pPr>
          </w:p>
        </w:tc>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Эпоэтин альфа*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и подкожного введения</w:t>
            </w:r>
          </w:p>
        </w:tc>
      </w:tr>
      <w:tr>
        <w:trPr>
          <w:trHeight w:val="854"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Эпоэтин бета*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внутривенного и подкожного введения;</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и подкожного введения</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В05</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Кровезаменители и перфузионные растворы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В05В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Растворы для внутривенного введения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34"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В05ВВ</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Растворы, влияющие на водно-электролитный баланс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Декстроза + калия хлорид + натрия хлорид + натрия цитрат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раствора для приема внутрь</w:t>
            </w:r>
          </w:p>
        </w:tc>
      </w:tr>
      <w:tr>
        <w:trPr>
          <w:trHeight w:val="42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Меглюмина натрия сукцинат*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инфузий</w:t>
            </w:r>
          </w:p>
        </w:tc>
      </w:tr>
      <w:tr>
        <w:trPr>
          <w:trHeight w:val="54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В05ВС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Растворы с осмодиуретическим действием</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Маннитол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ингаляций дозированный</w:t>
            </w: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В05С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Ирригационные растворы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81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В05СХ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ирригационные растворы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Декстроза*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введения; раствор для инфузий</w:t>
            </w:r>
          </w:p>
        </w:tc>
      </w:tr>
      <w:tr>
        <w:trPr>
          <w:trHeight w:val="58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В05Х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Добавки к растворам для внутривенного введения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557"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В05ХА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Растворы электролитов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Магния сульфат*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введения</w:t>
            </w:r>
          </w:p>
        </w:tc>
      </w:tr>
      <w:tr>
        <w:trPr>
          <w:trHeight w:val="1018"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Натрия хлорид*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инфузий;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растворитель для приготовления лекарственных форм для инъекций</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Сердечно-сосудистая система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для лечения заболеваний сердца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С01А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Сердечные гликозиды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05"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С01АА</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Гликозиды наперстянки</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Дигоксин</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(для детей)</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С01В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Антиаритмические препараты, классы I и III</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С01ВА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Антиаритмические препараты,класс1А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Прокаинамид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181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С01ВВ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Антиаритмические препараты,класс 1В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Лидокаин*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Гель для местного применения;</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глазные;</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спрей для местного и наружного применения;</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спрей для местного и наружного применения дозированный;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спрей для местного применения дозированный</w:t>
            </w:r>
          </w:p>
        </w:tc>
      </w:tr>
      <w:tr>
        <w:trPr>
          <w:trHeight w:val="54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С01ВС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Антиаритмические препараты,класс1С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Пропафенон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С01ВЭ</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Антиаритмические препараты, класс III</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Амиодарон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С01В6</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антиаритмические препараты, классы I и III</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Лаппаконитина гидробромид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70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С01С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Кардиотонические средства, кроме сердечных гликозидов</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749"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С01СА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Адренергические и дофаминергические средства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Норэпинефрин*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внутривенного введения</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Фенилэфрин*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Эпинефрин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w:t>
            </w:r>
          </w:p>
        </w:tc>
      </w:tr>
      <w:tr>
        <w:trPr>
          <w:trHeight w:val="5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СОЮ</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Вазодилататоры для лечения заболеваний сердца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085"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СОЮА</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Органические нитраты</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Изосорбида динитрат</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Спрей дозированный;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спрей подъязычный дозированный;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пролонгированного действия</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2294" w:hRule="exact"/>
        </w:trPr>
        <w:tc>
          <w:tcPr>
            <w:vMerge w:val="restart"/>
            <w:tcBorders>
              <w:top w:val="single" w:sz="4"/>
              <w:left w:val="single" w:sz="4"/>
            </w:tcBorders>
            <w:shd w:val="clear" w:color="auto" w:fill="auto"/>
            <w:vAlign w:val="top"/>
          </w:tcPr>
          <w:p>
            <w:pPr>
              <w:widowControl w:val="0"/>
              <w:rPr>
                <w:sz w:val="10"/>
                <w:szCs w:val="10"/>
              </w:rPr>
            </w:pPr>
          </w:p>
        </w:tc>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Изосорбида мононитрат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пролонгированного действия;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с пролонгированным высвобождением;</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пролонгированного действия;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пролонгированного действия, покрытые пленочной оболочкой;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пролонгированным высвобождением, покрытые пленочной оболочкой</w:t>
            </w:r>
          </w:p>
        </w:tc>
      </w:tr>
      <w:tr>
        <w:trPr>
          <w:trHeight w:val="1344"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Нитроглицерин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подъязычные;</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пленки для наклеивания на десну;</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спрей подъязычный дозированный;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подъязычные;</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сублингвальные</w:t>
            </w:r>
          </w:p>
        </w:tc>
      </w:tr>
      <w:tr>
        <w:trPr>
          <w:trHeight w:val="61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С01Е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препараты для лечения заболеваний сердца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54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С01ЕВ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препараты для лечения заболеваний сердца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Ивабрадин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С02</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Антигипертензивные средства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75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С02А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Антиадренергические средства центрального действия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57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С02АВ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Метилдопа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Метилдопа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533"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С02АС</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Агонисты имидазолиновых рецепторов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Клонидин*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528"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Моксонидин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79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С02С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Антиадренергические средства периферического действия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754"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С02СА</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Альфа-адреноблокаторы</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Доксазозин</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пролонгированным высвобождением, покрытые пленочной оболочкой</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566"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Урапидил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пролонгированного действия</w:t>
            </w:r>
          </w:p>
        </w:tc>
      </w:tr>
      <w:tr>
        <w:trPr>
          <w:trHeight w:val="44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С02К</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антигипертензивные средства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571"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С02КХ</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Антигипертензивные средства для лечения легочной артериальной гипертензии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Амбризентан*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830"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Бозентан*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диспергируемые;</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7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Мацитентан*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66"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Риоцигуат*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5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СОЗ</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Диуретики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4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СОЗА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Тиазидные диуретики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4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СОЗАА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Тиазиды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 идрохлоротиазид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44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СОЗВ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Тиазидоподобные диуретики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338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СОЗВА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Сульфонамиды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Индапамид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пролонгированного действия, покрытые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пролонгированного действия, покрытые пленочной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контролируемым высвобождением, покрытые пленочной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модифицированным высвобождением, покрытые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пролонгированным высвобождением, покрытые пленочной оболочкой</w:t>
            </w:r>
          </w:p>
        </w:tc>
      </w:tr>
      <w:tr>
        <w:trPr>
          <w:trHeight w:val="432"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СОЗС</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«Петлевые» диуретики</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128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СОЗСА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Сульфонамиды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Фуросемид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и внутримышечного введения*;</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СОЗО</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Калийсберегающие диуретики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54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СОЗОА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Антагонисты альдостерона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Спиронолактон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312"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таблетки</w:t>
            </w:r>
          </w:p>
        </w:tc>
      </w:tr>
      <w:tr>
        <w:trPr>
          <w:trHeight w:val="4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С07</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Бета-адреноблокаторы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С07А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Бета-адреноблокаторы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С07АА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Неселективные бета-адреноблокаторы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Пропранолол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418"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Соталол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1080"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С07АВ</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Селективные бета-адреноблокаторы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Атенолол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81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Бисопролол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1968"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Метопролол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пролонгированного действия, покрытые пленочной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пролонгированным высвобождением, покрытые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пролонгированным высвобождением, покрытые пленочной оболочкой</w:t>
            </w:r>
          </w:p>
        </w:tc>
      </w:tr>
      <w:tr>
        <w:trPr>
          <w:trHeight w:val="54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С07А6</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Альфа- и бета-адреноблокаторы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Карведилол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432"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С08</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Блокаторы кальциевых каналов</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С08С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Селективные блокаторы кальциевых каналов с преимущественным действием на сосуды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754"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С08СА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дигидропиридина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Амлодипин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Нимодипин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1968"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Нифедипин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пролонгированного действия, покрытые пленочной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модифицированным высвобождением, покрытые пленочной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пролонгированным высвобождением, покрытые пленочной оболочкой</w:t>
            </w: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С08О</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Селективные блокаторы кальциевых каналов с прямым действием на сердце</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28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С08ОА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фенилалкиламина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Верапамил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пролонгированным высвобождением, покрытые пленочной оболочкой</w:t>
            </w: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С09</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33"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Средства, действующие на ренин-ангиотензиновую систему</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С09А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Ингибиторы АПФ</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806"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С09АА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Ингибиторы АПФ</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Каптоприл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Лизиноприл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821"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Периндоприл</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диспергируемые в полости рта;</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749" w:hRule="exact"/>
        </w:trPr>
        <w:tc>
          <w:tcPr>
            <w:vMerge w:val="restart"/>
            <w:tcBorders>
              <w:top w:val="single" w:sz="4"/>
              <w:left w:val="single" w:sz="4"/>
            </w:tcBorders>
            <w:shd w:val="clear" w:color="auto" w:fill="auto"/>
            <w:vAlign w:val="top"/>
          </w:tcPr>
          <w:p>
            <w:pPr>
              <w:widowControl w:val="0"/>
              <w:rPr>
                <w:sz w:val="10"/>
                <w:szCs w:val="10"/>
              </w:rPr>
            </w:pPr>
          </w:p>
        </w:tc>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Рамиприл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таблетки</w:t>
            </w:r>
          </w:p>
        </w:tc>
      </w:tr>
      <w:tr>
        <w:trPr>
          <w:trHeight w:val="48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Эналаприл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С09С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Антагонисты рецепторов ангиотензина II</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75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С09СА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Антагонисты рецепторов ангиотензина II</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Лозартан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С09Э</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Антагонисты рецепторов ангиотензина II в комбинации с другими средствами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С09ЭХ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Антагонисты рецепторов ангиотензина II в комбинации с другими средствами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Валсартан + сакубитрил*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СЮ</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Гиполипидемические средства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С10А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Гиполипидемические средства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018"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СЮДА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Ингибиторы ГМГ-КоА-редуктазы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Аторвастатин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754"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Симвастатин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960"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С10АВ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Фибраты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Фенофибрат*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пролонгированного действия;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80"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С10АХ</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гиполипидемические средства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Алирокумаб*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48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Инклисиран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48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Эволокумаб*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432"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Дерматологические препараты</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Противогрибковые препараты, применяемые в дерматологии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□01А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Противогрибковые препараты для местного применения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81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□01АЕ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Прочие противогрибковые препараты для местного применения</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Салициловая кислота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Мазь для наружного применения;</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наружного применения (спиртовой)</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□03</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для лечения ран и язв</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□ОЗА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способствующие нормальному рубцеванию</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75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□ОЗАХ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препараты, способствующие нормальному рубцеванию</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Фактор роста эпидермальный*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инъекций</w:t>
            </w: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□06</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Антибиотики и противомикробные средства, применяемые в дерматологии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835"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□06С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Антибиотики в комбинации с противомикробными средствами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Диоксометилтетрагидропиримидин + сульфадиметоксин + тримекаин + хлорамфеникол*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Мазь для наружного применения</w:t>
            </w:r>
          </w:p>
        </w:tc>
      </w:tr>
      <w:tr>
        <w:trPr>
          <w:trHeight w:val="44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□07</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Глюкокортикоиды, применяемые в дерматологии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□07А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 люкокортикоиды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749"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□07АС</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Глюкокортикоиды с высокой активностью (группа III)</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Бетаметазон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307"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Крем для наружного применения; мазь для наружного применения;</w:t>
            </w:r>
          </w:p>
        </w:tc>
      </w:tr>
      <w:tr>
        <w:trPr>
          <w:trHeight w:val="1018"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Мометазон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31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Крем для наружного применения; мазь для наружного применения; раствор для наружного применения</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□08</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Антисептики и дезинфицирующие средства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542"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□08А</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Антисептики и дезинфицирующие средства</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24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□08АС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Бигуаниды и амидины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Хлоргексидин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местного применения;</w:t>
            </w:r>
          </w:p>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местного и наружного применения;</w:t>
            </w:r>
          </w:p>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наружного применения;</w:t>
            </w:r>
          </w:p>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наружного применения (спиртовой); спрей для наружного применения (спиртовой); спрей для местного и наружного применения;</w:t>
            </w:r>
          </w:p>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суппозитории вагинальные;</w:t>
            </w:r>
          </w:p>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вагинальные</w:t>
            </w:r>
          </w:p>
        </w:tc>
      </w:tr>
      <w:tr>
        <w:trPr>
          <w:trHeight w:val="74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□08А6</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йода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Повидон-йод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местного и наружного применения; раствор для наружного применения</w:t>
            </w:r>
          </w:p>
        </w:tc>
      </w:tr>
      <w:tr>
        <w:trPr>
          <w:trHeight w:val="811"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□08АХ</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антисептики и дезинфицирующие средства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Водорода пероксид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307"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местного и наружного применения; раствор для местного применения</w:t>
            </w:r>
          </w:p>
        </w:tc>
      </w:tr>
      <w:tr>
        <w:trPr>
          <w:trHeight w:val="69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Калия перманганат*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раствора для местного и наружного применения</w:t>
            </w:r>
          </w:p>
        </w:tc>
      </w:tr>
      <w:tr>
        <w:trPr>
          <w:trHeight w:val="1906"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Этанол*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наружного применения;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наружного применения и приготовления лекарственных форм;</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наружного применения;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наружного применения и приготовления лекарственных форм</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 11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дерматологические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 11А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дерматологические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542"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 11 АН</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для лечения дерматита, кроме глюкокортикоидов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Дупилумаб*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48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Пимекролимус*</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Крем для наружного применения</w:t>
            </w:r>
          </w:p>
        </w:tc>
      </w:tr>
      <w:tr>
        <w:trPr>
          <w:trHeight w:val="432"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Мочеполовая система и половые гормоны</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601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Противомикробные препараты и антисептики, применяемые в гинекологии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840"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601А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Противомикробные препараты и антисептики, кроме комбинированных препаратов с глюкокортикоидами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601АА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Антибактериальные препараты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Натамицин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Суппозитории вагинальные</w:t>
            </w:r>
          </w:p>
        </w:tc>
      </w:tr>
      <w:tr>
        <w:trPr>
          <w:trHeight w:val="80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601АР</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имидазола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Клотримазол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Гель вагинальный;</w:t>
            </w:r>
          </w:p>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суппозитории вагинальные; таблетки вагинальные</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602</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препараты, применяемые в гинекологии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602А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Утеротонизирующие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602АО</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Простагландины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Мизопростол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602С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препараты, применяемые в гинекологии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602СА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Адреномиметики, токолитические средства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Гексопреналин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602СВ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Ингибиторы пролактина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Бромокриптин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603</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Половые гормоны и модуляторы функции половых органов</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603В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Андрогены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811"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603ВА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З-оксоандрост-4-ена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Тестостерон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Гель для наружного применения;</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внутримышечного введения</w:t>
            </w:r>
          </w:p>
        </w:tc>
      </w:tr>
      <w:tr>
        <w:trPr>
          <w:trHeight w:val="74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Тестостерон (смесь эфиров)*</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внутримышечного введения (масляный)</w:t>
            </w: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6030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Гестагены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32"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603ОА</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прегн-4-ена</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Прогестерон</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595"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603ОВ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прегнадиена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Дидрогестерон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603ОС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эстрена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Норэтистерон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6036</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Гонадотропины и другие стимуляторы овуляции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854"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6036А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Гонадотропины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Гонадотропин хорионический*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внутримышечного введения</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Корифоллитропин альфа*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1493"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Фоллитропин альфа*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64"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внутримышечного и подкожного введения; лиофилизат для приготовления раствора для подкожного введения;</w:t>
            </w:r>
          </w:p>
          <w:p>
            <w:pPr>
              <w:pStyle w:val="Style23"/>
              <w:keepNext w:val="0"/>
              <w:keepLines w:val="0"/>
              <w:widowControl w:val="0"/>
              <w:shd w:val="clear" w:color="auto" w:fill="auto"/>
              <w:bidi w:val="0"/>
              <w:spacing w:before="0" w:after="0" w:line="264"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754"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Фоллитропин альфа + лутропин альфа*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подкожного введения</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6036В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Синтетические стимуляторы овуляции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Кломифен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603Н</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Антиандрогены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0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603НА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Антиандрогены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Ципротерон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внутримышечного введения масляный*;</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604</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применяемые в урологии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604В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применяемые в урологии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604ВО</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Средства для лечения учащенного мочеиспускания и недержания мочи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Солифенацин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614"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604С</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для лечения доброкачественной гиперплазии предстательной железы</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1493"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604СА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Апьфа-адреноблокаторы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Алфузозин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пролонгированного действия;</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пролонгированного действия, покрытые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контролируемым высвобождением, покрытые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пролонгированным высвобождением</w:t>
            </w:r>
          </w:p>
        </w:tc>
      </w:tr>
      <w:tr>
        <w:trPr>
          <w:trHeight w:val="2323"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Тамсулозин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кишечнорастворимые с пролонгированным высвобождением;</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пролонгированного действия;</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с модифицированным высвобождением;</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с пролонгированным высвобождением;</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контролируемым высвобождением, покрытые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пролонгированным высвобождением, покрытые пленочной оболочкой</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604СВ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Ингибиторы тестостерон-5-альфа-редуктазы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Финастерид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77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Гормональные препараты системного действия, кроме половых гормонов и инсулинов</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360"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Н01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Гормоны гипофиза и гипоталамуса и их аналоги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Н01А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Гормоны передней доли гипофиза и их аналоги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75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Н01АС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Соматропин и его агонисты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Соматропин*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подкожного введения;</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480"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Н01АХ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гормоны передней доли гипофиза и их аналоги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Пэгвисомант*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подкожного введения</w:t>
            </w:r>
          </w:p>
        </w:tc>
      </w:tr>
      <w:tr>
        <w:trPr>
          <w:trHeight w:val="33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Н01В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Гормоны задней доли гипофиза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618"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Н01ВА</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Вазопрессин и его аналоги</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Десмопрессин</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назальные;</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спрей назальный дозированный;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диспергируемые в полости рта;</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таблетки-лиофилизат;</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подъязычные</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56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Н01С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Гормоны гипоталамуса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80"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Н01СВ</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Соматостатин и аналоги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Ланреотид*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Гель для подкожного введения пролонгированного действия</w:t>
            </w:r>
          </w:p>
        </w:tc>
      </w:tr>
      <w:tr>
        <w:trPr>
          <w:trHeight w:val="2386"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Октреотид*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суспензии для внутримышечного введения пролонгированного действия;</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суспензии для внутримышечного введения с пролонгированным высвобождением;</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и подкожного введения;</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инфузий и подкожного введения</w:t>
            </w:r>
          </w:p>
        </w:tc>
      </w:tr>
      <w:tr>
        <w:trPr>
          <w:trHeight w:val="55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Пасиреотид*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547"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Н01СС</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Антигонадотропин-рилизинг гормоны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Ганиреликс*</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48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Цетрореликс*</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подкожного введения</w:t>
            </w:r>
          </w:p>
        </w:tc>
      </w:tr>
      <w:tr>
        <w:trPr>
          <w:trHeight w:val="533"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Н02</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Кортикостероиды системного действия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Н02А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Кортикостероиды системного действия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Н02АА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Минералокортикоиды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Флудрокортизон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2304"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Н02АВ</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 люкокортикоиды</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 идрокортизон</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Крем для наружного применения;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внутривенного и внутримышечного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мазь глазная;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мазь для наружного применения;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суспензия для внутримышечного и внутрисуставного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эмульсия для наружного применения</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1550" w:hRule="exact"/>
        </w:trPr>
        <w:tc>
          <w:tcPr>
            <w:vMerge w:val="restart"/>
            <w:tcBorders>
              <w:top w:val="single" w:sz="4"/>
              <w:left w:val="single" w:sz="4"/>
            </w:tcBorders>
            <w:shd w:val="clear" w:color="auto" w:fill="auto"/>
            <w:vAlign w:val="top"/>
          </w:tcPr>
          <w:p>
            <w:pPr>
              <w:widowControl w:val="0"/>
              <w:rPr>
                <w:sz w:val="10"/>
                <w:szCs w:val="10"/>
              </w:rPr>
            </w:pPr>
          </w:p>
        </w:tc>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Дексаметазон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Имплантат для интравитреального введения*;</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и внутримышечного введения*;</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1018"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Метилпреднизолон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76"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внутривенного и внутримышечного введения*; таблетки</w:t>
            </w:r>
          </w:p>
        </w:tc>
      </w:tr>
      <w:tr>
        <w:trPr>
          <w:trHeight w:val="155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Преднизолон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Мазь для наружного применения;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и внутримышечного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68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НОЗ</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для лечения заболеваний щитовидной железы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НОЗА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щитовидной железы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НОЗАА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Гормоны щитовидной железы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Левотироксин натрия</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4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НОЗВ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Антитиреоидные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81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НОЗВВ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Серосодержащие производные имидазола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Тиамазол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90"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НОЗС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йода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54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НОЗСА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йода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Калия йодид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485"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НО4</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Гормоны поджелудочной железы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94"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Н04А</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Гормоны, расщепляющие гликоген</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74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Н04АА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Гормоны, расщепляющие гликоген</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Глюкагон*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инъекций</w:t>
            </w: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Н05</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регулирующие обмен кальция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Н05А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Паратиреоидные гормоны и их аналоги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Н05АА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Паратиреоидные гормоны и их аналоги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Терипаратид*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Н05В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Антипаратиреоидные средства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749"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Н05ВХ</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Прочие антипаратиреоидные препараты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Парикальцитол*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введения</w:t>
            </w:r>
          </w:p>
        </w:tc>
      </w:tr>
      <w:tr>
        <w:trPr>
          <w:trHeight w:val="48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Цинакальцет*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8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Этелкальцетид*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введения</w:t>
            </w:r>
          </w:p>
        </w:tc>
      </w:tr>
      <w:tr>
        <w:trPr>
          <w:trHeight w:val="58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Противомикробные препараты системного действия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Антибактериальные препараты системного действия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аО1А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Тетрациклины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81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аО1АА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Тетрациклины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Доксициклин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диспергируемые</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ао1 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Амфениколы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0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аО1ВА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Амфениколы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Хлорамфеникол*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643"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аою</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Бета-лактамные антибактериальные препараты: пенициллины</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2026"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а01СА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Пенициллины широкого спектра действия</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Амоксициллин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Гранулы для приготовления суспензии для приема внутрь;</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суспензии для приема внутрь;</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диспергируемые;</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278"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Ампициллин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74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аО1СЕ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Пенициллины, чувствительные к бета-лактамазам</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Бензатина бензилпенициллин*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суспензии для внутримышечного введения</w:t>
            </w:r>
          </w:p>
        </w:tc>
      </w:tr>
      <w:tr>
        <w:trPr>
          <w:trHeight w:val="128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ао1СР</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Комбинации пенициллинов, включая комбинации с ингибиторами бета-лактамаз</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Амоксициллин + клавулановая кислота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суспензии для приема внутрь;</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диспергируемые;</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аою</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33"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бета-лактамные антибактериальные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0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аоюв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Цефалоспорины 1-го поколения</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Цефалексин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Гранулы для приготовления суспензии для приема внутрь;</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3130"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аоюс</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Цефалоспорины 2-го поколения</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Цефуроксим*</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Гранулы для приготовления суспензии для приема внутрь;</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раствора для внутривенного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раствора для внутривенного и внутримышечного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раствора для внутримышечного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раствора для инфузий;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раствора для инъекций;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1699"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зоюо</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Цефалоспорины 3-го поколения</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Цефтазидим*</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раствора для внутривенного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раствора для внутривенного и внутримышечного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раствора для инъекций</w:t>
            </w:r>
          </w:p>
        </w:tc>
      </w:tr>
      <w:tr>
        <w:trPr>
          <w:trHeight w:val="264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Цефтриаксон*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раствора для внутривенного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раствора для внутривенного и внутримышечного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раствора для внутримышечного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раствора для инфузий;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раствора для инъекций</w:t>
            </w:r>
          </w:p>
        </w:tc>
      </w:tr>
      <w:tr>
        <w:trPr>
          <w:trHeight w:val="960"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Цефоперазон+сульбактам</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раствора для внутривенного и внутримышечного введения</w:t>
            </w:r>
          </w:p>
        </w:tc>
      </w:tr>
      <w:tr>
        <w:trPr>
          <w:trHeight w:val="75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аоюЕ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Цефалоспорины 4-го поколения</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Цефепим + сульбактам*</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раствора для внутривенного и внутримышечного введения</w:t>
            </w:r>
          </w:p>
        </w:tc>
      </w:tr>
      <w:tr>
        <w:trPr>
          <w:trHeight w:val="600"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ао1 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Сульфаниламиды и триметоприм</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81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ЗО1ЕЕ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Комбинированные препараты сульфаниламидов и триметоприма, включая производные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Ко-тримоксазол*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307"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Суспензия для приема внутрь; таблетки</w:t>
            </w:r>
          </w:p>
        </w:tc>
      </w:tr>
      <w:tr>
        <w:trPr>
          <w:trHeight w:val="490"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аО1 Е</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Макролиды, линкозамиды и стрептограмины</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2131"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аО1ЕА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Макролиды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Азитромицин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суспензии для приема внутрь;</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суспензии для приема внутрь (для детей);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диспергируемые;</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9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Джозамицин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диспергируемые;</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223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Кларитромицин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Гранулы для приготовления суспензии для приема внутрь;</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пролонгированного действия, покрытые пленочной оболочкой;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пролонгированным высвобождением, покрытые пленочной оболочкой</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аО1 ЕЕ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Линкозамиды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Клиндамицин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«юю</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Аминогликозиды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85"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«ююв</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аминогликозиды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Гентамицин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глазные</w:t>
            </w:r>
          </w:p>
        </w:tc>
      </w:tr>
      <w:tr>
        <w:trPr>
          <w:trHeight w:val="1018"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Тобрамицин*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глазные;</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с порошком для ингаляций;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ингаляций</w:t>
            </w: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ао1м</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Антибактериальные препараты, производные хинолона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085"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аО1МА</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Фторхинолоны</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Левофлоксацин*</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глазные;</w:t>
            </w:r>
          </w:p>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 капсулы</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811" w:hRule="exact"/>
        </w:trPr>
        <w:tc>
          <w:tcPr>
            <w:vMerge w:val="restart"/>
            <w:tcBorders>
              <w:top w:val="single" w:sz="4"/>
              <w:left w:val="single" w:sz="4"/>
            </w:tcBorders>
            <w:shd w:val="clear" w:color="auto" w:fill="auto"/>
            <w:vAlign w:val="top"/>
          </w:tcPr>
          <w:p>
            <w:pPr>
              <w:widowControl w:val="0"/>
              <w:rPr>
                <w:sz w:val="10"/>
                <w:szCs w:val="10"/>
              </w:rPr>
            </w:pPr>
          </w:p>
        </w:tc>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Ломефлоксацин*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глазные;</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81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Моксифлоксацин*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глазные;</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181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Офлоксацин*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глазные;</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глазные и ушные;</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мазь глазная;</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пролонгированного действия, покрытые пленочной оболочкой</w:t>
            </w:r>
          </w:p>
        </w:tc>
      </w:tr>
      <w:tr>
        <w:trPr>
          <w:trHeight w:val="81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Спарфлоксацин*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2083"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Ципрофлоксацин*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глазные;</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глазные и ушные;</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ушные;</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мазь глазная;</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пролонгированного действия, покрытые пленочной оболочкой</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ао1х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антибактериальные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81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ао1хо</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имидазола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Метронидазол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85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ао1хх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Прочие антибактериальные препараты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Линезолид*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Гранулы для приготовления суспензии для приема внутрь;</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32"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ао2</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Противогрибковые препараты системного действия</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50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аО2А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Противогрибковые препараты системного действия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81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аО2АА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Антибиотики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Нистатин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1018"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аО2АС</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триазола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Вориконазол*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суспензии для приема внутрь;</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66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Позаконазол*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Суспензия для приема внутрь</w:t>
            </w:r>
          </w:p>
        </w:tc>
      </w:tr>
      <w:tr>
        <w:trPr>
          <w:trHeight w:val="1138"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Флуконазол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суспензии для приема внутрь;</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8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активные в отношении микобактерий</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 04 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Противотуберкулезные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650"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004АА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Аминосалициловая кислота и ее производные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Аминосалициловая кислота*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Гранулы замедленного высвобождения для приема внутрь;</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гранулы кишечнорастворимые;</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гранулы, покрытые кишечнорастворимой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гранулы с пролонгированным высвобождением;</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кишечнорастворимые, покрытые пленочной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кишечнорастворимой оболочкой</w:t>
            </w:r>
          </w:p>
        </w:tc>
      </w:tr>
      <w:tr>
        <w:trPr>
          <w:trHeight w:val="54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аО4АВ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Антибиотики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Циклосерин*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552"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z w:val="18"/>
                <w:szCs w:val="18"/>
                <w:shd w:val="clear" w:color="auto" w:fill="auto"/>
                <w:lang w:val="ru-RU" w:eastAsia="ru-RU" w:bidi="ru-RU"/>
              </w:rPr>
              <w:t xml:space="preserve">а </w:t>
            </w:r>
            <w:r>
              <w:rPr>
                <w:smallCaps/>
                <w:color w:val="000000"/>
                <w:spacing w:val="0"/>
                <w:w w:val="100"/>
                <w:position w:val="0"/>
                <w:shd w:val="clear" w:color="auto" w:fill="auto"/>
                <w:lang w:val="ru-RU" w:eastAsia="ru-RU" w:bidi="ru-RU"/>
              </w:rPr>
              <w:t>сиас</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 идразиды</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Изониазид*</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749"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а04АО</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тиокарбамида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Протионамид*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754"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Этионамид*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2"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аО4АК</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противотуберкулезные препараты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Бедаквилин*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Деламанид*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9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Пиразинамид*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Теризидон*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62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 иоуреидоиминометил- пиридиния перхлорат*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1080"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Этамбутол*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835"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аО4АМ</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Комбинированные противотуберкулезные препараты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Изониазид + ломефлоксацин + пиразинамид + этамбутол + пиридоксин*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2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Изониазид + пиразинамид*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81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Изониазид + пиразинамид + рифампицин*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диспергируемые;</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62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Изониазид + пиразинамид + рифампицин + этамбутол*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821"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Изониазид + пиразинамид + рифампицин + этамбутол + пиридоксин*</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811" w:hRule="exact"/>
        </w:trPr>
        <w:tc>
          <w:tcPr>
            <w:vMerge w:val="restart"/>
            <w:tcBorders>
              <w:top w:val="single" w:sz="4"/>
              <w:left w:val="single" w:sz="4"/>
            </w:tcBorders>
            <w:shd w:val="clear" w:color="auto" w:fill="auto"/>
            <w:vAlign w:val="top"/>
          </w:tcPr>
          <w:p>
            <w:pPr>
              <w:widowControl w:val="0"/>
              <w:rPr>
                <w:sz w:val="10"/>
                <w:szCs w:val="10"/>
              </w:rPr>
            </w:pPr>
          </w:p>
        </w:tc>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Изониазид + рифампицин*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2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Изониазид + этамбутол*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634"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Ломефлоксацин + пиразинамид + протионамид + этамбутол + пиридоксин*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аодв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Противолепрозные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аО4ВА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Противолепрозные препараты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Дапсон*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57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аоб</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Противовирусные препараты системного действия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аО5А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Противовирусные препараты прямого действия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613"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аО5АВ</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Нуклеозиды и нуклеотиды, кроме ингибиторов обратной транскриптазы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Ацикловир</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Крем для наружного применения;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мазь глазная;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мазь для местного и наружного применения;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мазь для наружного применения;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Валганцикловир*</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80"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аО5АЕ</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Ингибиторы протеаз</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Атазанавир*</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48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Атазанавир + ритонавир</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90"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Дарунавир*</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80"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Нарлапревир*</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8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Нирматрелвир</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701"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Нирматрелвир + ритонавир</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набор таблеток, покрытых пленочной оболочкой</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811" w:hRule="exact"/>
        </w:trPr>
        <w:tc>
          <w:tcPr>
            <w:vMerge w:val="restart"/>
            <w:tcBorders>
              <w:top w:val="single" w:sz="4"/>
              <w:left w:val="single" w:sz="4"/>
            </w:tcBorders>
            <w:shd w:val="clear" w:color="auto" w:fill="auto"/>
            <w:vAlign w:val="top"/>
          </w:tcPr>
          <w:p>
            <w:pPr>
              <w:widowControl w:val="0"/>
              <w:rPr>
                <w:sz w:val="10"/>
                <w:szCs w:val="10"/>
              </w:rPr>
            </w:pPr>
          </w:p>
        </w:tc>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Ритонавир*</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9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Саквинавир*</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81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Фосампренавир*</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Суспензия для приема внутрь;</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811"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аО5АЕ</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Нуклеозиды и нуклеотиды - ингибиторы обратной транскриптазы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Абакавир*</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приема внутрь;</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1018"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Диданозин*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кишечнорастворимые;</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раствора для приема внутрь</w:t>
            </w:r>
          </w:p>
        </w:tc>
      </w:tr>
      <w:tr>
        <w:trPr>
          <w:trHeight w:val="107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Зидовудин*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приема внутрь;</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81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Ламивудин*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приема внутрь;</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653"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Ставудин*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Телбивудин*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Тенофовир*</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Тенофовира алафенамид*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821"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Фосфазид*</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811" w:hRule="exact"/>
        </w:trPr>
        <w:tc>
          <w:tcPr>
            <w:vMerge w:val="restart"/>
            <w:tcBorders>
              <w:top w:val="single" w:sz="4"/>
              <w:left w:val="single" w:sz="4"/>
            </w:tcBorders>
            <w:shd w:val="clear" w:color="auto" w:fill="auto"/>
            <w:vAlign w:val="top"/>
          </w:tcPr>
          <w:p>
            <w:pPr>
              <w:widowControl w:val="0"/>
              <w:rPr>
                <w:sz w:val="10"/>
                <w:szCs w:val="10"/>
              </w:rPr>
            </w:pPr>
          </w:p>
        </w:tc>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Эмтрицитабин*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Энтекавир*</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71"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аО5А6</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Ненуклеозидные ингибиторы обратной транскриптазы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Доравирин*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1080"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Невирапин*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Суспензия для приема внутрь;</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Элсульфавирин*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Этравирин*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Эфавиренз*</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аО5АН</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Ингибиторы нейраминидазы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Осельтамивир*</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648"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аО5АР</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Противовирусные препараты для лечения гепатита 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Велпатасвир + софосбувир*</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806"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Глекапревир + пибрентасвир*</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Гранулы, покрытые оболочкой;</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Даклатасвир*</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634"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Дасабувир; омбитасвир + паритапревир + ритонавир*</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Таблеток набор</w:t>
            </w:r>
          </w:p>
        </w:tc>
      </w:tr>
      <w:tr>
        <w:trPr>
          <w:trHeight w:val="1296"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Рибавирин*</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суспензии для приема внутрь;</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542"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Софосбувир*</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22"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аО5АР</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Комбинированные противовирусные препараты для лечения ВИЧ-инфекции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Абакавир + ламивудин*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2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Абакавир + зидовудин + ламивудин*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62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Биктегравир + тенофовира алафенамид + эмтрицитабин*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298"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Доравирин + ламивудин + тенофовир*</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2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Зидовудин + ламивудин*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83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Кобицистат + тенофовира алафенамид + элвитегравир + эмтрицитабин*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9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Ламивудин + фосфазид*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600"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Лопинавир + ритонавир*</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приема внутрь;</w:t>
            </w:r>
          </w:p>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62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Рилпивирин + тенофовир + эмтрицитабин*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62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Тенофовир + элсульфавирин + эмтрицитабин*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634"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аО5АХ</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Прочие противовирусные препараты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Булевиртид*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подкожного введения</w:t>
            </w:r>
          </w:p>
        </w:tc>
      </w:tr>
      <w:tr>
        <w:trPr>
          <w:trHeight w:val="42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 разопревир + элбасвир*</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2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Долутегравир*</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62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Имидазолилэтанамид пентандиовой кислоты*</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42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Кагоцел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437"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Маравирок*</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422" w:hRule="exact"/>
        </w:trPr>
        <w:tc>
          <w:tcPr>
            <w:vMerge w:val="restart"/>
            <w:tcBorders>
              <w:top w:val="single" w:sz="4"/>
              <w:left w:val="single" w:sz="4"/>
            </w:tcBorders>
            <w:shd w:val="clear" w:color="auto" w:fill="auto"/>
            <w:vAlign w:val="top"/>
          </w:tcPr>
          <w:p>
            <w:pPr>
              <w:widowControl w:val="0"/>
              <w:rPr>
                <w:sz w:val="10"/>
                <w:szCs w:val="10"/>
              </w:rPr>
            </w:pPr>
          </w:p>
        </w:tc>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Молнупиравир</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Ралтегравир*</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жевательные;</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600"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Умифеновир</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2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Фавипиравир</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аоб</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Иммунные сыворотки и иммуноглобулины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аобА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Иммунные сыворотки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аобАА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Иммунные сыворотки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Антитоксин яда гадюки обыкновенной*</w:t>
            </w: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Антитоксин ботулинический типа А*</w:t>
            </w: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Антитоксин ботулинический типа В*</w:t>
            </w: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Антитоксин ботулиническийтипа Е*</w:t>
            </w:r>
          </w:p>
        </w:tc>
        <w:tc>
          <w:tcPr>
            <w:tcBorders>
              <w:top w:val="single" w:sz="4"/>
              <w:left w:val="single" w:sz="4"/>
              <w:right w:val="single" w:sz="4"/>
            </w:tcBorders>
            <w:shd w:val="clear" w:color="auto" w:fill="auto"/>
            <w:vAlign w:val="top"/>
          </w:tcPr>
          <w:p>
            <w:pPr>
              <w:widowControl w:val="0"/>
              <w:rPr>
                <w:sz w:val="10"/>
                <w:szCs w:val="10"/>
              </w:rPr>
            </w:pPr>
          </w:p>
        </w:tc>
      </w:tr>
      <w:tr>
        <w:trPr>
          <w:trHeight w:val="874"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Антитоксин гангренозный*</w:t>
            </w: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Антитоксин дифтерийный*</w:t>
            </w: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Антитоксин столбнячный *</w:t>
            </w: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аобв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Иммуноглобулины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аобвл</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Иммуноглобулины, нормальные человеческие</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Иммуноглобулин человека нормальный*</w:t>
            </w: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аобвв</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Специфические иммуноглобулины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Иммуноглобулин антирабический*</w:t>
            </w:r>
          </w:p>
        </w:tc>
        <w:tc>
          <w:tcPr>
            <w:tcBorders>
              <w:top w:val="single" w:sz="4"/>
              <w:left w:val="single" w:sz="4"/>
              <w:right w:val="single" w:sz="4"/>
            </w:tcBorders>
            <w:shd w:val="clear" w:color="auto" w:fill="auto"/>
            <w:vAlign w:val="top"/>
          </w:tcPr>
          <w:p>
            <w:pPr>
              <w:widowControl w:val="0"/>
              <w:rPr>
                <w:sz w:val="10"/>
                <w:szCs w:val="10"/>
              </w:rPr>
            </w:pPr>
          </w:p>
        </w:tc>
      </w:tr>
      <w:tr>
        <w:trPr>
          <w:trHeight w:val="586"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Иммуноглобулин против клещевого энцефалита*</w:t>
            </w:r>
          </w:p>
        </w:tc>
        <w:tc>
          <w:tcPr>
            <w:tcBorders>
              <w:top w:val="single" w:sz="4"/>
              <w:left w:val="single" w:sz="4"/>
              <w:right w:val="single" w:sz="4"/>
            </w:tcBorders>
            <w:shd w:val="clear" w:color="auto" w:fill="auto"/>
            <w:vAlign w:val="top"/>
          </w:tcPr>
          <w:p>
            <w:pPr>
              <w:widowControl w:val="0"/>
              <w:rPr>
                <w:sz w:val="10"/>
                <w:szCs w:val="10"/>
              </w:rPr>
            </w:pPr>
          </w:p>
        </w:tc>
      </w:tr>
      <w:tr>
        <w:trPr>
          <w:trHeight w:val="802"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Иммуноглобулин человека антирезус РНО(О)*</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внутримышечного введения;</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внутримышечного введения</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586" w:hRule="exact"/>
        </w:trPr>
        <w:tc>
          <w:tcPr>
            <w:vMerge w:val="restart"/>
            <w:tcBorders>
              <w:top w:val="single" w:sz="4"/>
              <w:left w:val="single" w:sz="4"/>
            </w:tcBorders>
            <w:shd w:val="clear" w:color="auto" w:fill="auto"/>
            <w:vAlign w:val="top"/>
          </w:tcPr>
          <w:p>
            <w:pPr>
              <w:widowControl w:val="0"/>
              <w:rPr>
                <w:sz w:val="10"/>
                <w:szCs w:val="10"/>
              </w:rPr>
            </w:pPr>
          </w:p>
        </w:tc>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Иммуноглобулин человека противостафилококковый*</w:t>
            </w: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Паливизумаб*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внутримышечного введения</w:t>
            </w:r>
          </w:p>
        </w:tc>
      </w:tr>
      <w:tr>
        <w:trPr>
          <w:trHeight w:val="1253"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Вакцины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Вакцины в соответствии с национальным календарем профилактических прививок и календарем профилактических прививок по эпидемическим показаниям*</w:t>
            </w:r>
          </w:p>
        </w:tc>
        <w:tc>
          <w:tcPr>
            <w:tcBorders>
              <w:top w:val="single" w:sz="4"/>
              <w:left w:val="single" w:sz="4"/>
              <w:right w:val="single" w:sz="4"/>
            </w:tcBorders>
            <w:shd w:val="clear" w:color="auto" w:fill="auto"/>
            <w:vAlign w:val="top"/>
          </w:tcPr>
          <w:p>
            <w:pPr>
              <w:widowControl w:val="0"/>
              <w:rPr>
                <w:sz w:val="10"/>
                <w:szCs w:val="10"/>
              </w:rPr>
            </w:pPr>
          </w:p>
        </w:tc>
      </w:tr>
      <w:tr>
        <w:trPr>
          <w:trHeight w:val="634"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Вакцины для профилактики новой коронавирусной инфекции ССМО-19*</w:t>
            </w: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аО7А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Вакцины бактериальные</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аО7АР</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Вакцины дифтерийные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Анатоксин дифтерийный*</w:t>
            </w: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аО7АМ</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Противостолбнячные вакцины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Анатоксин дифтерийно-столбнячный*</w:t>
            </w: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Анатоксин столбнячный*</w:t>
            </w: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|_</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Противоопухолевые препараты и иммуномодуляторы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Противоопухолевые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75"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1_01А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Алкилирующие средства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32"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1_01АА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Аналоги азотистого иприта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Мелфалан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08"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Хлорамбуцил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170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Циклофосфамид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внутривенного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раствора для внутривенного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раствора для внутривенного и внутримышечного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tc>
      </w:tr>
      <w:tr>
        <w:trPr>
          <w:trHeight w:val="576"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1_01АВ</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Алкилсульфонаты</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Бусульфан</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1_01АО</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нитрозомочевины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Ломустин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754"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1_01 АХ</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алкилирующие средства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Дакарбазин*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внутривенного введения</w:t>
            </w:r>
          </w:p>
        </w:tc>
      </w:tr>
      <w:tr>
        <w:trPr>
          <w:trHeight w:val="79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Темозоломид*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инфузий</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Ь01В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Антиметаболиты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770"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001В 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Аналоги фолиевой кислоты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Метотрексат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инфузий*;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инъекций;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74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Пеметрексед*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инфузий</w:t>
            </w:r>
          </w:p>
        </w:tc>
      </w:tr>
      <w:tr>
        <w:trPr>
          <w:trHeight w:val="480"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Ралтитрексид*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инфузий</w:t>
            </w:r>
          </w:p>
        </w:tc>
      </w:tr>
      <w:tr>
        <w:trPr>
          <w:trHeight w:val="427"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1_01 ВВ</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Аналоги пурина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Меркаптопурин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Неларабин*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инфузий</w:t>
            </w:r>
          </w:p>
        </w:tc>
      </w:tr>
      <w:tr>
        <w:trPr>
          <w:trHeight w:val="1502"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Флударабин</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внутривенного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внутривенного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1699"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1_01 ВС</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Аналоги пиримидина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Гемцитабин*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концентрата для приготовления раствора для инфузий;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инфузий</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Капецитабин*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1_01С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Алкалоиды растительного происхождения и другие природные вещества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749"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1_01СА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Алкалоиды барвинка и их аналоги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Винбластин*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внутривенного введения</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Винкристин*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введения</w:t>
            </w:r>
          </w:p>
        </w:tc>
      </w:tr>
      <w:tr>
        <w:trPr>
          <w:trHeight w:val="1018"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Винорелбин*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1_01СВ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подофиллотоксина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Этопозид*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586"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1_01СЭ</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Таксаны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Доцетаксел*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tc>
      </w:tr>
      <w:tr>
        <w:trPr>
          <w:trHeight w:val="74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Кабазитаксел*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tc>
      </w:tr>
      <w:tr>
        <w:trPr>
          <w:trHeight w:val="1166"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Паклитаксел*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инфузий</w:t>
            </w:r>
          </w:p>
        </w:tc>
      </w:tr>
      <w:tr>
        <w:trPr>
          <w:trHeight w:val="638"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|_ою</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Противоопухолевые антибиотики и родственные соединения</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1166"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ШЮВ</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Антрациклины и родственные соединения</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Даунорубицин*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внутривенного введения;</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внутривенного введения</w:t>
            </w:r>
          </w:p>
        </w:tc>
      </w:tr>
      <w:tr>
        <w:trPr>
          <w:trHeight w:val="2318"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Доксорубицин*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внутриартериального, внутривенного и внутрипузырного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внутрисосудистого и внутрипузырного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внутрисосудистого и внутрипузырного введения</w:t>
            </w:r>
          </w:p>
        </w:tc>
      </w:tr>
      <w:tr>
        <w:trPr>
          <w:trHeight w:val="69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Митоксантрон*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tc>
      </w:tr>
      <w:tr>
        <w:trPr>
          <w:trHeight w:val="1848"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Эпирубицин*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64"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внутрисосудистого и внутрипузырного введения; лиофилизат для приготовления раствора для внутрисосудистого и внутрипузырного введения; лиофилизат для приготовления раствора для внутриартериального, внутрипузырного введения и инфузий</w:t>
            </w:r>
          </w:p>
        </w:tc>
      </w:tr>
      <w:tr>
        <w:trPr>
          <w:trHeight w:val="581"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1_0ЮС</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противоопухолевые антибиотики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Блеомицин*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инъекций</w:t>
            </w:r>
          </w:p>
        </w:tc>
      </w:tr>
      <w:tr>
        <w:trPr>
          <w:trHeight w:val="69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Митомицин*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инъекций</w:t>
            </w: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1_01 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Ингибиторы протеинкиназы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Е01 ЕЕ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Ингибиторы тирозинкиназы Брутона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Занубрутиниб*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Е01Е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Моноклональные антитела и конъюгаты антител</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94"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1_01 ЕС</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Ингибиторы СО38 (кластеры дифференцировки 38)</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Даратумумаб</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542" w:hRule="exact"/>
        </w:trPr>
        <w:tc>
          <w:tcPr>
            <w:vMerge w:val="restart"/>
            <w:tcBorders>
              <w:top w:val="single" w:sz="4"/>
              <w:left w:val="single" w:sz="4"/>
            </w:tcBorders>
            <w:shd w:val="clear" w:color="auto" w:fill="auto"/>
            <w:vAlign w:val="top"/>
          </w:tcPr>
          <w:p>
            <w:pPr>
              <w:widowControl w:val="0"/>
              <w:rPr>
                <w:sz w:val="10"/>
                <w:szCs w:val="10"/>
              </w:rPr>
            </w:pPr>
          </w:p>
        </w:tc>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754"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Изатуксимаб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1_01Х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противоопухолевые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430"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1_01ХА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платины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Оксалиплатин*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концентрата для приготовления раствора для инфузий;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инфузий</w:t>
            </w:r>
          </w:p>
        </w:tc>
      </w:tr>
      <w:tr>
        <w:trPr>
          <w:trHeight w:val="54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1_01ХВ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Метилгидразины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Прокарбазин*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854"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1_01ХС</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Моноклональные антитела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Авелумаб*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tc>
      </w:tr>
      <w:tr>
        <w:trPr>
          <w:trHeight w:val="854"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Атезолизумаб*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tc>
      </w:tr>
      <w:tr>
        <w:trPr>
          <w:trHeight w:val="586"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Бевацизумаб*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tc>
      </w:tr>
      <w:tr>
        <w:trPr>
          <w:trHeight w:val="586"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Брентуксимаб ведотин*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концентрата для приготовления раствора для инфузий</w:t>
            </w:r>
          </w:p>
        </w:tc>
      </w:tr>
      <w:tr>
        <w:trPr>
          <w:trHeight w:val="586"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Дурвалумаб*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tc>
      </w:tr>
      <w:tr>
        <w:trPr>
          <w:trHeight w:val="590"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Ниволумаб*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tc>
      </w:tr>
      <w:tr>
        <w:trPr>
          <w:trHeight w:val="586"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Обинутузумаб*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tc>
      </w:tr>
      <w:tr>
        <w:trPr>
          <w:trHeight w:val="590"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Панитумумаб*</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586" w:hRule="exact"/>
        </w:trPr>
        <w:tc>
          <w:tcPr>
            <w:vMerge w:val="restart"/>
            <w:tcBorders>
              <w:top w:val="single" w:sz="4"/>
              <w:left w:val="single" w:sz="4"/>
            </w:tcBorders>
            <w:shd w:val="clear" w:color="auto" w:fill="auto"/>
            <w:vAlign w:val="top"/>
          </w:tcPr>
          <w:p>
            <w:pPr>
              <w:widowControl w:val="0"/>
              <w:rPr>
                <w:sz w:val="10"/>
                <w:szCs w:val="10"/>
              </w:rPr>
            </w:pPr>
          </w:p>
        </w:tc>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Пембролизумаб*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tc>
      </w:tr>
      <w:tr>
        <w:trPr>
          <w:trHeight w:val="586"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Пертузумаб*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tc>
      </w:tr>
      <w:tr>
        <w:trPr>
          <w:trHeight w:val="586"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Пролголимаб*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tc>
      </w:tr>
      <w:tr>
        <w:trPr>
          <w:trHeight w:val="754"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Ритуксимаб*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74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 растузумаб*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концентрата для приготовления раствора для инфузий;</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73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Трастузумаб эмтанзин*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концентрата для приготовления раствора для инфузий</w:t>
            </w:r>
          </w:p>
        </w:tc>
      </w:tr>
      <w:tr>
        <w:trPr>
          <w:trHeight w:val="504"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Цетуксимаб*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инфузий</w:t>
            </w:r>
          </w:p>
        </w:tc>
      </w:tr>
      <w:tr>
        <w:trPr>
          <w:trHeight w:val="69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Элотузумаб*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концентрата для приготовления раствора для инфузий</w:t>
            </w:r>
          </w:p>
        </w:tc>
      </w:tr>
      <w:tr>
        <w:trPr>
          <w:trHeight w:val="485"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1_01ХЕ</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Ингибиторы протеинкиназы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Абемациклиб*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374"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Акалабрутиниб*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480"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Акситиниб*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2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Алектиниб*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Афатиниб*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Бозутиниб*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Вандетаниб*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90"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Вемурафениб*</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542" w:hRule="exact"/>
        </w:trPr>
        <w:tc>
          <w:tcPr>
            <w:vMerge w:val="restart"/>
            <w:tcBorders>
              <w:top w:val="single" w:sz="4"/>
              <w:left w:val="single" w:sz="4"/>
            </w:tcBorders>
            <w:shd w:val="clear" w:color="auto" w:fill="auto"/>
            <w:vAlign w:val="top"/>
          </w:tcPr>
          <w:p>
            <w:pPr>
              <w:widowControl w:val="0"/>
              <w:rPr>
                <w:sz w:val="10"/>
                <w:szCs w:val="10"/>
              </w:rPr>
            </w:pPr>
          </w:p>
        </w:tc>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Гефитиниб*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Дабрафениб*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Дазатиниб*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Ибрутиниб*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81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Иматиниб*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Кабозантиниб*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Кобиметиниб*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Кризотиниб*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Лапатиниб*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Ленватиниб*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Мидостаурин*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Нилотиниб*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Нинтеданиб*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мягкие</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Осимертиниб*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Пазопаниб*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52"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Палбоциклиб*</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542" w:hRule="exact"/>
        </w:trPr>
        <w:tc>
          <w:tcPr>
            <w:vMerge w:val="restart"/>
            <w:tcBorders>
              <w:top w:val="single" w:sz="4"/>
              <w:left w:val="single" w:sz="4"/>
            </w:tcBorders>
            <w:shd w:val="clear" w:color="auto" w:fill="auto"/>
            <w:vAlign w:val="top"/>
          </w:tcPr>
          <w:p>
            <w:pPr>
              <w:widowControl w:val="0"/>
              <w:rPr>
                <w:sz w:val="10"/>
                <w:szCs w:val="10"/>
              </w:rPr>
            </w:pPr>
          </w:p>
        </w:tc>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Регорафениб*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Рибоциклиб*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Руксолитиниб*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Сорафениб*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Сунитиниб*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30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Траметиниб*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Церитиниб*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47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Эрлотиниб*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66"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1.01 XX</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Прочие противоопухолевые препараты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Алпелисиб*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1018"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Афлиберцепт*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внутриглазного введения</w:t>
            </w:r>
          </w:p>
        </w:tc>
      </w:tr>
      <w:tr>
        <w:trPr>
          <w:trHeight w:val="169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Бортезомиб*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внутривенного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внутривенного и подкожного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подкожного введения</w:t>
            </w:r>
          </w:p>
        </w:tc>
      </w:tr>
      <w:tr>
        <w:trPr>
          <w:trHeight w:val="566"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Венетоклакс*</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Висмодегиб*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706"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 идроксикарбамид*</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590" w:hRule="exact"/>
        </w:trPr>
        <w:tc>
          <w:tcPr>
            <w:vMerge w:val="restart"/>
            <w:tcBorders>
              <w:top w:val="single" w:sz="4"/>
              <w:left w:val="single" w:sz="4"/>
            </w:tcBorders>
            <w:shd w:val="clear" w:color="auto" w:fill="auto"/>
            <w:vAlign w:val="top"/>
          </w:tcPr>
          <w:p>
            <w:pPr>
              <w:widowControl w:val="0"/>
              <w:rPr>
                <w:sz w:val="10"/>
                <w:szCs w:val="10"/>
              </w:rPr>
            </w:pPr>
          </w:p>
        </w:tc>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Иксазомиб*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74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Иринотекан*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tc>
      </w:tr>
      <w:tr>
        <w:trPr>
          <w:trHeight w:val="74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Карфилзомиб*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инфузий</w:t>
            </w:r>
          </w:p>
        </w:tc>
      </w:tr>
      <w:tr>
        <w:trPr>
          <w:trHeight w:val="686"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Митотан*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Олапариб*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30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Талазопариб*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Третиноин*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Эрибулин*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введения</w:t>
            </w: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1_02</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Противоопухолевые гормональные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1_02А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Гормоны и родственные соединения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7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1_02АВ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Гестагены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Медроксипрогестерон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691"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1_02АЕ</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Аналоги гонадотропин-рилизинг гормона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Бусерелин*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суспензии для внутримышечного введения пролонгированного действия</w:t>
            </w:r>
          </w:p>
        </w:tc>
      </w:tr>
      <w:tr>
        <w:trPr>
          <w:trHeight w:val="74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Гозерелин*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Имплантат;</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капсула для подкожного введения пролонгированного действия</w:t>
            </w:r>
          </w:p>
        </w:tc>
      </w:tr>
      <w:tr>
        <w:trPr>
          <w:trHeight w:val="1858"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Лейпрорелин*</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подкожного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суспензии для внутримышечного и подкожного введения пролонгированного действия;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суспензии для внутримышечного и подкожного введения с пролонгированным высвобождением</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3475"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Трипторелин*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подкожного введения;</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суспензии для внутримышечного введения пролонгированного действия;</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суспензии для внутримышечного введения с пролонгированным высвобождением;</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суспензии для внутримышечного и подкожного введения пролонгированного действия;</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суспензии для внутримышечного и подкожного введения пролонгированного действия;</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1.02В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Антагонисты гормонов и родственные соединения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811"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1.02ВА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Антиэстрогены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Тамоксифен*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Фулвестрант*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внутримышечного введения</w:t>
            </w:r>
          </w:p>
        </w:tc>
      </w:tr>
      <w:tr>
        <w:trPr>
          <w:trHeight w:val="542"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1_02ВВ</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Антиандрогены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Апалутамид*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Бикалутамид*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81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Флутамид*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Энзалутамид*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54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1.02В6</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Ингибиторы ароматазы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Анастрозол*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821"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1.02ВХ</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антагонисты гормонов и родственные соединения</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Абиратерон*</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691"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Дегареликс*</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подкожного введения</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1.03</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Иммуностимуляторы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1_03А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Иммуностимуляторы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960"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1_03АА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Колониестимулирующие факторы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Филграстим*</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и подкожного введения;</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48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Эмпэгфилграстим*</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6091"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1_03АВ</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Интерфероны</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Интерферон альфа</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Гель для местного и наружного применения;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назальные;</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спрей назальный дозированный;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внутримышечного, субконъюнктивального введения и закапывания в глаз;</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интраназального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интраназального введения и ингаляций;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инъекций;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инъекций и местного применения;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суспензии для приема внутрь;</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мазь для наружного и местного применения;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внутримышечного, субконъюнктивального введения и закапывания в глаз;</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и подкожного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спрей назальный дозированный;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суппозитории ректальные</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1018" w:hRule="exact"/>
        </w:trPr>
        <w:tc>
          <w:tcPr>
            <w:vMerge w:val="restart"/>
            <w:tcBorders>
              <w:top w:val="single" w:sz="4"/>
              <w:left w:val="single" w:sz="4"/>
            </w:tcBorders>
            <w:shd w:val="clear" w:color="auto" w:fill="auto"/>
            <w:vAlign w:val="top"/>
          </w:tcPr>
          <w:p>
            <w:pPr>
              <w:widowControl w:val="0"/>
              <w:rPr>
                <w:sz w:val="10"/>
                <w:szCs w:val="10"/>
              </w:rPr>
            </w:pPr>
          </w:p>
        </w:tc>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Интерферон бета-1а*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внутримышечного введения;</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95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Интерферон бета-1 Ь*</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подкожного введения;</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960"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Интерферон гамма*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64"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внутримышечного и подкожного введения; лиофилизат для приготовления раствора для интраназального введения</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Пэгинтерферон альфа-2а*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74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Пэгинтерферон альфа-2Ь*</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подкожного введения</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Пэгинтерферон бета-1 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293"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Сампэгинтерферон бета-1 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внутримышечного введения</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Цепэгинтерферон альфа-2Ь*</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1224"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1_03АХ</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иммуностимуляторы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Азоксимера бромид*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инъекций и местного применения;</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суппозитории вагинальные и ректальные;</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74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Вакцина для лечения рака мочевого пузыря БЦЖ*</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суспензии для внутрипузырного введения</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Глатирамера ацетат*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552"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Глутамил-цистеинил-глицин динатрия*</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749" w:hRule="exact"/>
        </w:trPr>
        <w:tc>
          <w:tcPr>
            <w:vMerge w:val="restart"/>
            <w:tcBorders>
              <w:top w:val="single" w:sz="4"/>
              <w:left w:val="single" w:sz="4"/>
            </w:tcBorders>
            <w:shd w:val="clear" w:color="auto" w:fill="auto"/>
            <w:vAlign w:val="top"/>
          </w:tcPr>
          <w:p>
            <w:pPr>
              <w:widowControl w:val="0"/>
              <w:rPr>
                <w:sz w:val="10"/>
                <w:szCs w:val="10"/>
              </w:rPr>
            </w:pPr>
          </w:p>
        </w:tc>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Меглюмина акридонацетат*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и внутримышечного введения</w:t>
            </w:r>
          </w:p>
        </w:tc>
      </w:tr>
      <w:tr>
        <w:trPr>
          <w:trHeight w:val="81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Тилорон*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1_04</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 м мунодепрессанты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1_04А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 м мунодепрессанты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018"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1_04АА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Селективные иммунодепрессанты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Абатацепт*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концентрата для приготовления раствора для инфузий;</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533"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Апремиласт*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90"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Барицитиниб*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69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Белимумаб*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концентрата для приготовления раствора для инфузий</w:t>
            </w:r>
          </w:p>
        </w:tc>
      </w:tr>
      <w:tr>
        <w:trPr>
          <w:trHeight w:val="69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Ведолизумаб*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концентрата для приготовления раствора для инфузий</w:t>
            </w:r>
          </w:p>
        </w:tc>
      </w:tr>
      <w:tr>
        <w:trPr>
          <w:trHeight w:val="122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Иммуноглобулин антитимоцитарный*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инфузий</w:t>
            </w:r>
          </w:p>
        </w:tc>
      </w:tr>
      <w:tr>
        <w:trPr>
          <w:trHeight w:val="74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Иммуноглобулин антитимоцитарный лошадиный*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Кладрибин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557"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Лефлуномид*</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811" w:hRule="exact"/>
        </w:trPr>
        <w:tc>
          <w:tcPr>
            <w:vMerge w:val="restart"/>
            <w:tcBorders>
              <w:top w:val="single" w:sz="4"/>
              <w:left w:val="single" w:sz="4"/>
            </w:tcBorders>
            <w:shd w:val="clear" w:color="auto" w:fill="auto"/>
            <w:vAlign w:val="top"/>
          </w:tcPr>
          <w:p>
            <w:pPr>
              <w:widowControl w:val="0"/>
              <w:rPr>
                <w:sz w:val="10"/>
                <w:szCs w:val="10"/>
              </w:rPr>
            </w:pPr>
          </w:p>
        </w:tc>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Микофенолата мофетил*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95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Микофеноловая кислота*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кишечнорастворимые, покрытые оболочкой;</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кишечнорастворимой оболочкой</w:t>
            </w:r>
          </w:p>
        </w:tc>
      </w:tr>
      <w:tr>
        <w:trPr>
          <w:trHeight w:val="754"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Натализумаб*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tc>
      </w:tr>
      <w:tr>
        <w:trPr>
          <w:trHeight w:val="74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Окрелизумаб*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tc>
      </w:tr>
      <w:tr>
        <w:trPr>
          <w:trHeight w:val="586"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Сипонимод*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Терифлуномид*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Тофацитиниб*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74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Упадацитиниб*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пролонгированным высвобождением, покрытые пленочной оболочкой</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Финголимод*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59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Эверолимус*</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диспергируемые</w:t>
            </w:r>
          </w:p>
        </w:tc>
      </w:tr>
      <w:tr>
        <w:trPr>
          <w:trHeight w:val="59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Экулизумаб*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tc>
      </w:tr>
      <w:tr>
        <w:trPr>
          <w:trHeight w:val="542"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1_04АВ</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Ингибиторы фактора некроза опухоли альфа (ФНО- альфа)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Адалимумаб*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557"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Голимумаб*</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1224" w:hRule="exact"/>
        </w:trPr>
        <w:tc>
          <w:tcPr>
            <w:vMerge w:val="restart"/>
            <w:tcBorders>
              <w:top w:val="single" w:sz="4"/>
              <w:left w:val="single" w:sz="4"/>
            </w:tcBorders>
            <w:shd w:val="clear" w:color="auto" w:fill="auto"/>
            <w:vAlign w:val="top"/>
          </w:tcPr>
          <w:p>
            <w:pPr>
              <w:widowControl w:val="0"/>
              <w:rPr>
                <w:sz w:val="10"/>
                <w:szCs w:val="10"/>
              </w:rPr>
            </w:pPr>
          </w:p>
        </w:tc>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Инфликсимаб*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инфузий;</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концентрата для приготовления раствора для инфузий</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Цертолизумаба пэгол*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960"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Этанерцепт*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подкожного введения;</w:t>
            </w:r>
          </w:p>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422"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Ь04АС</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Ингибиторы интерлейкина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Анакинра*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42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Гуселькумаб*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42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Иксекизумаб*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95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Канакинумаб*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подкожного введения;</w:t>
            </w:r>
          </w:p>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42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Левилимаб*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42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Нетакимаб*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418"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Олокизумаб*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42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Рисанкизумаб*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42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Сарилумаб*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95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Секукинумаб*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подкожного введения;</w:t>
            </w:r>
          </w:p>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1027"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Тоцилизумаб*</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542"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Устекинумаб*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811"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1_04АО</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Ингибиторы кальциневрина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Такролимус*</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пролонгированного действия; мазь для наружного применения</w:t>
            </w:r>
          </w:p>
        </w:tc>
      </w:tr>
      <w:tr>
        <w:trPr>
          <w:trHeight w:val="936"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Циклоспорин*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мягкие;</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приема внутрь</w:t>
            </w:r>
          </w:p>
        </w:tc>
      </w:tr>
      <w:tr>
        <w:trPr>
          <w:trHeight w:val="302"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Ь04АХ</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иммунодепрессанты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Азатиоприн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293"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Диметилфумарат*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кишечнорастворимые</w:t>
            </w:r>
          </w:p>
        </w:tc>
      </w:tr>
      <w:tr>
        <w:trPr>
          <w:trHeight w:val="298"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Леналидомид*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Пирфенидон*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298"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Помалидомид*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29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Костно-мышечная система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85"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Противовоспалительные и противоревматические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80"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М01А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Нестероидные противовоспалительные и противоревматические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3725"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М01АВ</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уксусной кислоты и родственные соединения</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Диклофенак</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глазные;</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кишечнорастворимые;</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с модифицированным высвобождением;</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внутримышечного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кишечнорастворимой оболочкой;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кишечнорастворимой пленочной оболочкой;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пролонгированного действия, покрытые кишечнорастворимой оболочкой;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пролонгированного действия, покрытые оболочкой;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пролонгированного действия, покрытые пленочной оболочкой;</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2112" w:hRule="exact"/>
        </w:trPr>
        <w:tc>
          <w:tcPr>
            <w:vMerge w:val="restart"/>
            <w:tcBorders>
              <w:top w:val="single" w:sz="4"/>
              <w:left w:val="single" w:sz="4"/>
            </w:tcBorders>
            <w:shd w:val="clear" w:color="auto" w:fill="auto"/>
            <w:vAlign w:val="top"/>
          </w:tcPr>
          <w:p>
            <w:pPr>
              <w:widowControl w:val="0"/>
              <w:rPr>
                <w:sz w:val="10"/>
                <w:szCs w:val="10"/>
              </w:rPr>
            </w:pPr>
          </w:p>
        </w:tc>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кишечнорастворимые, покрытые пленочной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пролонгированным высвобождением, покрытые пленочной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кишечнорастворимые с пролонгированным высвобождением;</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кишечнорастворимые с пролонгированным высвобождением, покрытые пленочной оболочкой</w:t>
            </w:r>
          </w:p>
        </w:tc>
      </w:tr>
      <w:tr>
        <w:trPr>
          <w:trHeight w:val="1550"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Кеторолак*</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и внутримышечного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внутримышечного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86"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М01АЕ</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пропионовой кислоты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Декскетопрофен*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и внутримышечного введения</w:t>
            </w:r>
          </w:p>
        </w:tc>
      </w:tr>
      <w:tr>
        <w:trPr>
          <w:trHeight w:val="3902"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Ибупрофен</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Гель для наружного применения;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гранулы для приготовления раствора для приема внутрь;</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крем для наружного применения;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мазь для наружного применения;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суппозитории ректальные;</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суппозитории ректальные (для детей);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суспензия для приема внутрь;</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суспензия для приема внутрь (для детей);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пролонгированным высвобождением, покрытые пленочной оболочкой</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3360"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Кетопрофен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пролонгированного действия;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с модифицированным высвобождением;</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и внутримышечного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инфузий и внутримышечного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суппозитории ректальные;</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пролонгированного действия;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модифицированным высвобождением</w:t>
            </w:r>
          </w:p>
        </w:tc>
      </w:tr>
      <w:tr>
        <w:trPr>
          <w:trHeight w:val="485"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М01С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Базисные противоревматические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54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М01СС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Пеницилламин и подобные препараты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Пеницилламин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МОЗ</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Миорелаксанты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МОЗА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Миорелаксанты периферического действия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955"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МОЗАХ</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миорелаксанты периферического действия</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Ботулинический токсин типа 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внутримышечного введения;</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инъекций</w:t>
            </w:r>
          </w:p>
        </w:tc>
      </w:tr>
      <w:tr>
        <w:trPr>
          <w:trHeight w:val="122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Ботулинический токсин типа А-гемагглютинин комплекс*</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внутримышечного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инъекций;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внутримышечного введения</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МОЗВ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Миорелаксанты центрального действия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595"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МОЗВХ</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миорелаксанты центрального действия</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Баклофен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интратекального введения*; таблетки</w:t>
            </w:r>
          </w:p>
        </w:tc>
      </w:tr>
      <w:tr>
        <w:trPr>
          <w:trHeight w:val="552"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Тизанидин</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307"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с модифицированным высвобождением; таблетки</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М04</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Противоподагрические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М04А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Противоподагрические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М04АА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Ингибиторы образования мочевой кислоты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Аллопуринол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М05</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для лечения заболеваний костей</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М05В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влияющие на структуру и минерализацию костей</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811"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М05ВА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Бифосфонаты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Алендроновая кислота*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2170"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Золедроновая кислота*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Концентрат для приготовления раствора для инфузий;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внутривенного введения;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инфузий;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концентрата для приготовления раствора для инфузий;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инфузий</w:t>
            </w:r>
          </w:p>
        </w:tc>
      </w:tr>
      <w:tr>
        <w:trPr>
          <w:trHeight w:val="485"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М05ВХ</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препараты, влияющие на структуру и минерализацию костей</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Деносумаб*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69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Стронция ранелат*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суспензии для приема внутрь</w:t>
            </w:r>
          </w:p>
        </w:tc>
      </w:tr>
      <w:tr>
        <w:trPr>
          <w:trHeight w:val="456"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М09АХ</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Прочие препараты для лечения заболеваний костно-мышечной системы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Нусинерсен*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интратекального введения</w:t>
            </w:r>
          </w:p>
        </w:tc>
      </w:tr>
      <w:tr>
        <w:trPr>
          <w:trHeight w:val="62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Рисдиплам</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раствора для приема внутрь</w:t>
            </w: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Нервная система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355"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К101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Анестетики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1Х101А</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для общей анестезии</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74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1Х101АН</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Опиоидные анальгетики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Тримеперидин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 таблетки</w:t>
            </w: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М01В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Местные анестетики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80"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1Х101ВА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Эфиры аминобензойной кислоты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Прокаин*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w:t>
            </w:r>
          </w:p>
        </w:tc>
      </w:tr>
      <w:tr>
        <w:trPr>
          <w:trHeight w:val="485"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1Х101ВВ</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Амиды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Левобупивакаин*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w:t>
            </w:r>
          </w:p>
        </w:tc>
      </w:tr>
      <w:tr>
        <w:trPr>
          <w:trHeight w:val="48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Ропивакаин*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М02</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Анальгетики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М02А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Опиоиды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438"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М02АА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Природные алкалоиды опия</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Морфин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пролонгированного действия;</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пролонгированного действия, покрытые пленочной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пролонгированным высвобождением, покрытые пленочной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приема внутрь</w:t>
            </w:r>
          </w:p>
        </w:tc>
      </w:tr>
      <w:tr>
        <w:trPr>
          <w:trHeight w:val="74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Налоксон + оксикодон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пролонгированным высвобождением, покрытые пленочной оболочкой</w:t>
            </w:r>
          </w:p>
        </w:tc>
      </w:tr>
      <w:tr>
        <w:trPr>
          <w:trHeight w:val="81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М02АВ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фенилпиперидина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Фентанил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Трансдермальная терапевтическая система; пластырь трансдермальный</w:t>
            </w:r>
          </w:p>
        </w:tc>
      </w:tr>
      <w:tr>
        <w:trPr>
          <w:trHeight w:val="54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М02АЕ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орипавина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Бупренорфин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w:t>
            </w:r>
          </w:p>
        </w:tc>
      </w:tr>
      <w:tr>
        <w:trPr>
          <w:trHeight w:val="821"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М02АХ</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опиоиды</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Пропионил фенил- этоксиэтилпиперидин</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защечные;</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подъязычные</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691" w:hRule="exact"/>
        </w:trPr>
        <w:tc>
          <w:tcPr>
            <w:vMerge w:val="restart"/>
            <w:tcBorders>
              <w:top w:val="single" w:sz="4"/>
              <w:left w:val="single" w:sz="4"/>
            </w:tcBorders>
            <w:shd w:val="clear" w:color="auto" w:fill="auto"/>
            <w:vAlign w:val="top"/>
          </w:tcPr>
          <w:p>
            <w:pPr>
              <w:widowControl w:val="0"/>
              <w:rPr>
                <w:sz w:val="10"/>
                <w:szCs w:val="10"/>
              </w:rPr>
            </w:pPr>
          </w:p>
        </w:tc>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Тапентадол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пролонгированного действия, покрытые пленочной оболочкой</w:t>
            </w:r>
          </w:p>
        </w:tc>
      </w:tr>
      <w:tr>
        <w:trPr>
          <w:trHeight w:val="2290"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Трамадол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суппозитории ректальные;</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пролонгированного действия, покрытые пленочной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пролонгированным высвобождением, покрытые пленочной оболочкой</w:t>
            </w: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1М02В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анальгетики и антипиретики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43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1М02ВА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Салициловая кислота и ее производные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Ацетилсалициловая кислота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кишечнорастворимые, покрытые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кишечнорастворимые, покрытые пленочной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кишечнорастворимой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кишечнорастворимой пленочной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270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М02ВЕ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Анилиды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Парацетамол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инфузий;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приема внутрь;</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приема внутрь (для детей);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суппозитории ректальные;</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суппозитории ректальные (для детей);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суспензия для приема внутрь;</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суспензия для приема внутрь (для детей);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32"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МОЗ</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Противоэпилептические препараты</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МОЗА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Противоэпилептические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542"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МОЗАА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Барбитураты и их производные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Бензобарбитал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Фенобарбитал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54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МОЗАВ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гидантоина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Фенитоин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54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МОЗАО</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сукцинимида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Этосуксимид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54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МОЗАЕ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бензодиазепина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Клоназепам</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1757"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МОЗАЕ</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карбоксамида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Карбамазепин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пролонгированного действия;</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пролонгированного действия, покрытые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пролонгированного действия, покрытые пленочной оболочкой</w:t>
            </w:r>
          </w:p>
        </w:tc>
      </w:tr>
      <w:tr>
        <w:trPr>
          <w:trHeight w:val="81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Окскарбазепин*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Суспензия для приема внутрь;</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3374"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МОЗА6</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жирных кислот</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Вальпроевая кислота</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Гранулы с пролонгированным высвобождением*;</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для приема внутрь;</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кишечнорастворимые;</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сироп;</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сироп (для детей);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кишечнорастворимой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пролонгированного действия, покрытые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пролонгированного действия, покрытые пленочной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пролонгированным высвобождением, покрытые пленочной оболочкой</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542"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МОЗАХ</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противоэпилептические препараты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Бриварацетам</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Лакосамид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81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Леветирацетам*</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приема внутрь;</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Перампанел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Прегабалин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81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Топирамат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М04</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Противопаркинсонические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М04А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Антихолинергические средства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542"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М04АА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Третичные амины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Бипериден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 ригексифенидил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50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М04В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Дофаминергические средства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344"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М04ВА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Допа и ее производные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Леводопа + бенсеразид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с модифицированным высвобождением;</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диспергируемые</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Леводопа + карбидопа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552"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М04ВВ</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адамантана</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Амантадин</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1699"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1Х104ВС</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Агонисты дофаминовых рецепторов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Пирибедил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контролируемым высвобождением, покрытые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контролируемым высвобождением, покрытые пленочной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пролонгированным высвобождением, покрытые пленочной оболочкой</w:t>
            </w:r>
          </w:p>
        </w:tc>
      </w:tr>
      <w:tr>
        <w:trPr>
          <w:trHeight w:val="81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Прамипексол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пролонгированного действия</w:t>
            </w:r>
          </w:p>
        </w:tc>
      </w:tr>
      <w:tr>
        <w:trPr>
          <w:trHeight w:val="54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1405</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Психолептики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1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М05А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Антипсихотические средства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018"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1Х105АА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Алифатические производные фенотиазина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Левомепромазин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инфузий и внутримышечного введения;</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tc>
      </w:tr>
      <w:tr>
        <w:trPr>
          <w:trHeight w:val="81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Хлорпромазин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Драже;</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2"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1Х105АВ</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Пиперазиновые производные фенотиазина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Перфеназин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tc>
      </w:tr>
      <w:tr>
        <w:trPr>
          <w:trHeight w:val="61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Трифлуоперазин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754"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Флуфеназин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внутримышечного введения (масляный)</w:t>
            </w:r>
          </w:p>
        </w:tc>
      </w:tr>
      <w:tr>
        <w:trPr>
          <w:trHeight w:val="782"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М05АС</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Пиперидиновые производные фенотиазина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Перициазин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приема внутрь</w:t>
            </w:r>
          </w:p>
        </w:tc>
      </w:tr>
      <w:tr>
        <w:trPr>
          <w:trHeight w:val="802"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Тиоридазин</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1200"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1Х105АО</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бутирофенона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 алоперидол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для приема внутрь;</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внутримышечного введения (масляный)*;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547"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М05АЕ</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индола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Луразидон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Сертиндол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tc>
      </w:tr>
      <w:tr>
        <w:trPr>
          <w:trHeight w:val="1018"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1Х105АЕ</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тиоксантена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Зуклопентиксол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внутримышечного введения (масляный);</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122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Флупентиксол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внутримышечного введения (масляный);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1426"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М05АН</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Диазепины, оксазепины, тиазепины и оксепины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Кветиапин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пролонгированного действия, покрытые пленочной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пролонгированным высвобождением, покрытые пленочной оболочкой*</w:t>
            </w:r>
          </w:p>
        </w:tc>
      </w:tr>
      <w:tr>
        <w:trPr>
          <w:trHeight w:val="81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Оланзапин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диспергируемые в полости рта;</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114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М05А1.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Бензамиды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Сульпирид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52"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1Х105АХ</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антипсихотические средства</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Карипразин</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1200" w:hRule="exact"/>
        </w:trPr>
        <w:tc>
          <w:tcPr>
            <w:vMerge w:val="restart"/>
            <w:tcBorders>
              <w:top w:val="single" w:sz="4"/>
              <w:left w:val="single" w:sz="4"/>
            </w:tcBorders>
            <w:shd w:val="clear" w:color="auto" w:fill="auto"/>
            <w:vAlign w:val="top"/>
          </w:tcPr>
          <w:p>
            <w:pPr>
              <w:widowControl w:val="0"/>
              <w:rPr>
                <w:sz w:val="10"/>
                <w:szCs w:val="10"/>
              </w:rPr>
            </w:pPr>
          </w:p>
        </w:tc>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Палиперидон*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Суспензия для внутримышечного введения пролонгированного действия;</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пролонгированного действия, покрытые оболочкой</w:t>
            </w:r>
          </w:p>
        </w:tc>
      </w:tr>
      <w:tr>
        <w:trPr>
          <w:trHeight w:val="2026"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Рисперидон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суспензии для внутримышечного введения пролонгированного действия*;</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приема внутрь;</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диспергируемые в полости рта;</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для рассасывания;</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М05В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Анксиолитики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811"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1Х105ВА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бензодиазепина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Бромдигидрохлорфенил- бензодиазепин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диспергируемые в полости рта</w:t>
            </w:r>
          </w:p>
        </w:tc>
      </w:tr>
      <w:tr>
        <w:trPr>
          <w:trHeight w:val="878"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Диазепам</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Лоразепам</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tc>
      </w:tr>
      <w:tr>
        <w:trPr>
          <w:trHeight w:val="81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Оксазепам</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1Х105ВВ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дифенилметана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 идроксизин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М05С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Снотворные и седативные средства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754"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М05СО</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бензодиазепина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Мидазолам*</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и внутримышечного введения</w:t>
            </w:r>
          </w:p>
        </w:tc>
      </w:tr>
      <w:tr>
        <w:trPr>
          <w:trHeight w:val="552"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Нитразепам</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485"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М05СР</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Бензодиазепиноподобные средства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Зопиклон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1406</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Психоаналептики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М06А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Антидепрессанты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080"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М06АА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Неселективные ингибиторы обратного захвата моноаминов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Амитриптилин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81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Имипрамин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Драже;</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1224"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Кломипрамин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пролонгированного действия, покрытые пленочной оболочкой</w:t>
            </w:r>
          </w:p>
        </w:tc>
      </w:tr>
      <w:tr>
        <w:trPr>
          <w:trHeight w:val="1018"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М06АВ</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Селективные ингибиторы обратного захвата серотонина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Пароксетин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31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для приема внутрь; таблетки, покрытые оболочкой; таблетки, покрытые пленочной оболочкой</w:t>
            </w:r>
          </w:p>
        </w:tc>
      </w:tr>
      <w:tr>
        <w:trPr>
          <w:trHeight w:val="48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Сертралин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8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Флуоксетин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tc>
      </w:tr>
      <w:tr>
        <w:trPr>
          <w:trHeight w:val="485"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1Х106АХ</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антидепрессанты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Агомелатин*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8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Пипофезин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840"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М06В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Психостимуляторы, средства, применяемые при синдроме дефицита внимания с гиперактивностью, и ноотропные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758"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1Х106ВС</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ксантина</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Кофеин*</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и субконъюнктивального введения</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811"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1Х106ВХ</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психостимуляторы и ноотропные препараты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Винпоцетин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107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Глицин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защечные; таблетки подъязычные; таблетки защечные и подъязычные</w:t>
            </w:r>
          </w:p>
        </w:tc>
      </w:tr>
      <w:tr>
        <w:trPr>
          <w:trHeight w:val="1286"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Пирацетам</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приема внутрь;</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74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Полипептиды коры головного мозга скота*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внутримышечного введения</w:t>
            </w:r>
          </w:p>
        </w:tc>
      </w:tr>
      <w:tr>
        <w:trPr>
          <w:trHeight w:val="590"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Фонтурацетам</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Пептиды головного мозга свиньи*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М06О</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для лечения деменции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811"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М06ОА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Антихолинэстеразные средства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Галантамин*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пролонгированного действия;</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1018"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Ривастигмин*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трансдермальная терапевтическая система;</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приема внутрь</w:t>
            </w:r>
          </w:p>
        </w:tc>
      </w:tr>
      <w:tr>
        <w:trPr>
          <w:trHeight w:val="81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М06ОХ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препараты для лечения деменции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Мемантин*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для приема внутрь;</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М07</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препараты для лечения заболеваний нервной системы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32"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1Х107А</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Парасимпатомиметики</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1286"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1Х107АА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Антихолинэстеразные средства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Неостигмина метилсульфат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и подкожного введения*;</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Пиридостигмина бромид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81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1Х107АХ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Прочие парасимпатомиметики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Холина альфосцерат*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приема внутрь</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1Х107В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применяемые при зависимостях</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76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М07ВВ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применяемые при алкогольной зависимости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Налтрексон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суспензии для внутримышечного введения пролонгированного действия*;</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оболочкой</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1Х107С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для устранения головокружения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075"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1Х107СА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для устранения головокружения</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Бетагистин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для приема внутрь*;</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1Х107Х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препараты для лечения заболеваний нервной системы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29"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1Х107ХХ</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Прочие препараты для лечения заболеваний нервной системы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Инозин + никотинамид + рибофлавин + янтарная кислота*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кишечнорастворимой оболочкой</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Тетрабеназин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758"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Фампридин*</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с пролонгированным высвобождением, покрытые пленочной оболочкой</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811"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Этилметилгидроксипиридина сукцинат*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Противопаразитарные препараты, инсектициды и репелленты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Р01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Противопротозойные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Р01В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Противомалярийные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54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Р01ВА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Аминохинолины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 идроксихлорохин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54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Р01ВС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Метанолхинолины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Мефлохин*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Р02</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Противогельминтные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Р02В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для лечения трематодоза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58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Р02ВА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хинолина и родственные соединения</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Празиквантел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365"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Р02С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для лечения нематодоза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Р02СА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бензимидазола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Мебендазол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1075"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Р02СС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тетрагидропиримидина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Пирантел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Суспензия для приема внутрь;</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Р02СЕ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имидазотиазола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Левамизол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840"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РОЗ</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для уничтожения эктопаразитов (в т.ч. чесоточного клеща), инсектициды и репелленты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РОЗА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для уничтожения эктопаразитов (в т.ч. чесоточного клеща)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552"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РОЗАХ</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Прочие препараты для уничтожения эктопаразитов (в т.ч. чесоточного клеща)</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Бензилбензоат</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Мазь для наружного применения;</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эмульсия для наружного применения</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Дыхательная система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К01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Назальные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ГС01А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Деконгестанты и другие препараты для местного применения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88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Р01АА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Адреномиметики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Ксилометазолин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Гель назальный;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назальные;</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назальные (для детей);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спрей назальный;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спрей назальный дозированный;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спрей назальный дозированный (для детей)</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Р02</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для лечения заболеваний горла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ГС02А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для лечения заболеваний горла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81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Р02АА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Антисептические препараты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Йод + калия йодид + глицерол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307"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местного применения; спрей для местного применения</w:t>
            </w: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РОЗ</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для лечения обструктивных заболеваний дыхательных путей</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РОЗА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Адренергические средства для ингаляционного введения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595"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РОЗАС</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Селективные бета 2-адреномиметики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Индакатерол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с порошком для ингаляций</w:t>
            </w:r>
          </w:p>
        </w:tc>
      </w:tr>
      <w:tr>
        <w:trPr>
          <w:trHeight w:val="1565"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Сальбутамол</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76"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Аэрозоль для ингаляций дозированный; аэрозоль для ингаляций дозированный, активируемый вдохом;</w:t>
            </w:r>
          </w:p>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ингаляций дозированный; раствор для ингаляций</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1080"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Формотерол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Аэрозоль для ингаляций дозированный; капсулы с порошком для ингаляций; порошок для ингаляций дозированный</w:t>
            </w:r>
          </w:p>
        </w:tc>
      </w:tr>
      <w:tr>
        <w:trPr>
          <w:trHeight w:val="542"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КОЗАК</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Адренергические средства в комбинации с глюкокортикоидами или другими препаратами, кроме антихолинергических средств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Беклометазон + формотерол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Аэрозоль для ингаляций дозированный</w:t>
            </w:r>
          </w:p>
        </w:tc>
      </w:tr>
      <w:tr>
        <w:trPr>
          <w:trHeight w:val="107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Будесонид + формотерол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 с порошком для ингаляций набор; порошок для ингаляций дозированный; капсулы с порошком для ингаляций</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Вилантерол + флутиказона фуроат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ингаляций дозированный</w:t>
            </w:r>
          </w:p>
        </w:tc>
      </w:tr>
      <w:tr>
        <w:trPr>
          <w:trHeight w:val="107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Салметерол + флутиказон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31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Аэрозоль для ингаляций дозированный; капсулы с порошком для ингаляций; порошок для ингаляций дозированный</w:t>
            </w:r>
          </w:p>
        </w:tc>
      </w:tr>
      <w:tr>
        <w:trPr>
          <w:trHeight w:val="547"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Р03А1_</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Адренергические средства в комбинации с антихолинергическими средствами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Аклидиния бромид + формотерол*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ингаляций дозированный</w:t>
            </w:r>
          </w:p>
        </w:tc>
      </w:tr>
      <w:tr>
        <w:trPr>
          <w:trHeight w:val="62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Беклометазон + гликопиррония бромид + формотерол*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Аэрозоль для ингаляций дозированный</w:t>
            </w:r>
          </w:p>
        </w:tc>
      </w:tr>
      <w:tr>
        <w:trPr>
          <w:trHeight w:val="62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Будесонид + гликопиррония бромид + формотерол*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Аэрозоль для ингаляций дозированный</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Вилантерол + умеклидиния бромид*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ингаляций дозированный</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Вилантерол + умеклидиния бромид + флутиказона фуроат*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ингаляций дозированный</w:t>
            </w:r>
          </w:p>
        </w:tc>
      </w:tr>
      <w:tr>
        <w:trPr>
          <w:trHeight w:val="49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Гликопиррония бромид + индакатерол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с порошком для ингаляций</w:t>
            </w:r>
          </w:p>
        </w:tc>
      </w:tr>
      <w:tr>
        <w:trPr>
          <w:trHeight w:val="634"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Гликопиррония бромид + индакатерол + мометазон*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с порошком для ингаляций</w:t>
            </w:r>
          </w:p>
        </w:tc>
      </w:tr>
      <w:tr>
        <w:trPr>
          <w:trHeight w:val="758"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Ипратропия бромид + фенотерол</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307"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Аэрозоль для ингаляций дозированный; раствор для ингаляций</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542"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Олодатерол + тиотропия бромид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ингаляций дозированный</w:t>
            </w:r>
          </w:p>
        </w:tc>
      </w:tr>
      <w:tr>
        <w:trPr>
          <w:trHeight w:val="840"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РОЗВ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средства для лечения обструктивных заболеваний дыхательных путей для ингаляционного введения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550"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ГСОЗВА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 люкокортикоиды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Беклометазон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76"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Аэрозоль для ингаляций дозированный; аэрозоль для ингаляций дозированный, активируемый вдохом;</w:t>
            </w:r>
          </w:p>
          <w:p>
            <w:pPr>
              <w:pStyle w:val="Style23"/>
              <w:keepNext w:val="0"/>
              <w:keepLines w:val="0"/>
              <w:widowControl w:val="0"/>
              <w:shd w:val="clear" w:color="auto" w:fill="auto"/>
              <w:bidi w:val="0"/>
              <w:spacing w:before="0" w:after="0" w:line="307"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спрей назальный дозированный; суспензия для ингаляций</w:t>
            </w:r>
          </w:p>
        </w:tc>
      </w:tr>
      <w:tr>
        <w:trPr>
          <w:trHeight w:val="1613"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Будесонид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кишечнорастворимые;</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ингаляций дозированный;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ингаляций;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спрей назальный дозированный;</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суспензия для ингаляций дозированная</w:t>
            </w:r>
          </w:p>
        </w:tc>
      </w:tr>
      <w:tr>
        <w:trPr>
          <w:trHeight w:val="542"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ГСОЗВВ</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Антихолинергические средства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Аклидиния бромид*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ингаляций дозированный</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Гликопиррония бромид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с порошком для ингаляций</w:t>
            </w:r>
          </w:p>
        </w:tc>
      </w:tr>
      <w:tr>
        <w:trPr>
          <w:trHeight w:val="600"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Ипратропия бромид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Аэрозоль для ингаляций дозированный; раствор для ингаляций</w:t>
            </w:r>
          </w:p>
        </w:tc>
      </w:tr>
      <w:tr>
        <w:trPr>
          <w:trHeight w:val="81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Тиотропия бромид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с порошком для ингаляций; раствор для ингаляций</w:t>
            </w:r>
          </w:p>
        </w:tc>
      </w:tr>
      <w:tr>
        <w:trPr>
          <w:trHeight w:val="134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ГСОЗВС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33"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Противоаллергические средства, кроме глюкокортикоидов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Кромоглициевая кислота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Аэрозоль для ингаляций дозированный;</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глазные;</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спрей назальный дозированный</w:t>
            </w:r>
          </w:p>
        </w:tc>
      </w:tr>
      <w:tr>
        <w:trPr>
          <w:trHeight w:val="638"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РОЗО</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средства системного действия для лечения обструктивных заболеваний дыхательных путей</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46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ГСОЗОА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Ксантины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Аминофиллин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610"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ГСОЗОХ</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Прочие средства системного действия для лечения обструктивных заболеваний дыхательных путей</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Бенрализумаб*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590"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Меполизумаб*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76"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подкожного введения</w:t>
            </w:r>
          </w:p>
        </w:tc>
      </w:tr>
      <w:tr>
        <w:trPr>
          <w:trHeight w:val="95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Омализумаб*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подкожного введения;</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54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Тезепелумаб*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подкожного введения</w:t>
            </w: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К05</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Противокашлевые препараты и средства для лечения простудных заболеваний</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Р05С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Отхаркивающие препараты, кроме комбинаций с противокашлевыми средствами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882"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ГС05СВ</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Муколитические препараты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Амброксол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Капсулы пролонгированного действия; пастилки;</w:t>
            </w:r>
          </w:p>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приема внутрь;</w:t>
            </w:r>
          </w:p>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приема внутрь и ингаляций;</w:t>
            </w:r>
          </w:p>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сироп;</w:t>
            </w:r>
          </w:p>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диспергируемые</w:t>
            </w:r>
          </w:p>
        </w:tc>
      </w:tr>
      <w:tr>
        <w:trPr>
          <w:trHeight w:val="2779"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Ацетилцистеин</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Гранулы для приготовления раствора для приема внутрь;</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гранулы для приготовления сиропа;</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раствора для приема внутрь;</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приема внутрь;</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приема внутрь;</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сироп;</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шипучие;</w:t>
            </w:r>
          </w:p>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диспергируемые</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542"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Дорназа альфа*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ингаляций</w:t>
            </w:r>
          </w:p>
        </w:tc>
      </w:tr>
      <w:tr>
        <w:trPr>
          <w:trHeight w:val="58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Р06</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Антигистаминные средства системного действия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5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Р06А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Антигистаминные средства системного действия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28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Р06АА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Эфиры алкиламинов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Дифенгидрамин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и внутримышечного введения*;</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внутримышечного введения*;</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10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Р06АС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Замещенные этилендиамины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Хлоропирамин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и внутримышечного введения*;</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1075"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Р06АЕ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Производные пиперазина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Цетиризин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для приема внутрь;</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сироп;</w:t>
            </w:r>
          </w:p>
          <w:p>
            <w:pPr>
              <w:pStyle w:val="Style23"/>
              <w:keepNext w:val="0"/>
              <w:keepLines w:val="0"/>
              <w:widowControl w:val="0"/>
              <w:shd w:val="clear" w:color="auto" w:fill="auto"/>
              <w:bidi w:val="0"/>
              <w:spacing w:before="0" w:after="6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1080"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Р06АХ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антигистаминные средства системного действия</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Лоратадин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Сироп;</w:t>
            </w:r>
          </w:p>
          <w:p>
            <w:pPr>
              <w:pStyle w:val="Style23"/>
              <w:keepNext w:val="0"/>
              <w:keepLines w:val="0"/>
              <w:widowControl w:val="0"/>
              <w:shd w:val="clear" w:color="auto" w:fill="auto"/>
              <w:bidi w:val="0"/>
              <w:spacing w:before="0" w:after="0" w:line="31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суспензия для приема внутрь; таблетки</w:t>
            </w:r>
          </w:p>
        </w:tc>
      </w:tr>
      <w:tr>
        <w:trPr>
          <w:trHeight w:val="57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Р07</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препараты для лечения заболеваний дыхательной системы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57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Р07А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препараты для лечения заболеваний дыхательной системы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Р07АХ</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Прочие препараты для лечения заболеваний органов дыхания</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Ивакафтор + лумакафтор*</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69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 ирозил-Э-аланил-глицил- фенилаланил-лейцил-аргинина сукцинат*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внутримышечного введения и раствора для ингаляций</w:t>
            </w: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Органы чувств</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32"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301</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Офтальмологические препараты</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801А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Противомикробные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360"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801АА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Антибиотики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Тетрациклин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Мазь глазная</w:t>
            </w: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801Е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Противоглаукомные препараты и миотические средства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54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801ЕВ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Парасимпатомиметики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Пилокарпин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глазные</w:t>
            </w:r>
          </w:p>
        </w:tc>
      </w:tr>
      <w:tr>
        <w:trPr>
          <w:trHeight w:val="374"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801 ЕС</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Ингибиторы карбоангидразы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Ацетазоламид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403"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Дорзоламид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глазные</w:t>
            </w:r>
          </w:p>
        </w:tc>
      </w:tr>
      <w:tr>
        <w:trPr>
          <w:trHeight w:val="5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801ЕО</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Бета-адреноблокаторы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Тимолол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глазные</w:t>
            </w:r>
          </w:p>
        </w:tc>
      </w:tr>
      <w:tr>
        <w:trPr>
          <w:trHeight w:val="370"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801ЕЕ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Аналоги простагландинов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Тафлупрост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глазные</w:t>
            </w:r>
          </w:p>
        </w:tc>
      </w:tr>
      <w:tr>
        <w:trPr>
          <w:trHeight w:val="91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801ЕХ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противоглаукомные препараты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Бутиламиногидрокси- пропоксифеноксиметил- метилоксадиазол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глазные</w:t>
            </w:r>
          </w:p>
        </w:tc>
      </w:tr>
      <w:tr>
        <w:trPr>
          <w:trHeight w:val="490"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801Е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Мидриатические и циклоплегические средства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54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801ЕА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Антихолинэргические средства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Тропикамид*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глазные</w:t>
            </w: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801Н</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Местные анестетики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53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801 НА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Местные анестетики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Оксибупрокаин*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глазные</w:t>
            </w: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80П</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Диагностические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85"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80ПА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Красящие средства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Флуоресцеин натрия*</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введения</w:t>
            </w: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801К</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используемые при хирургических вмешательствах в офтальмологии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85"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801 КА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Вязкоэластичные соединения</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 ипромеллоза*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глазные</w:t>
            </w:r>
          </w:p>
        </w:tc>
      </w:tr>
      <w:tr>
        <w:trPr>
          <w:trHeight w:val="638"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801Б</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Средства, применяемые при заболеваниях сосудистой оболочки глаза</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128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422"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8011_А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Средства, препятствующие новообразованию сосудов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Бролуцизумаб*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внутриглазного введения</w:t>
            </w:r>
          </w:p>
        </w:tc>
      </w:tr>
      <w:tr>
        <w:trPr>
          <w:trHeight w:val="298"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Ранибизумаб*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внутриглазного введения</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802</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для лечения заболеваний уха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802А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Противомикробные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802АА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Противомикробные препараты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Рифамицин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Капли ушные</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V</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Прочие препараты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701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Аллергены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701А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Аллергены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80"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701АА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Аллергенов экстракт</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Аллергены бактерий*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внутрикожного введения</w:t>
            </w:r>
          </w:p>
        </w:tc>
      </w:tr>
      <w:tr>
        <w:trPr>
          <w:trHeight w:val="634"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Аллерген бактерий (туберкулезный рекомбинантный)*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внутрикожного введения</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703</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лечебные средства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89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703А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лечебные средства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 разных лекарственных форм, изготовленные по экстемпоральной рецептуре из фармацевтических субстанций</w:t>
            </w:r>
          </w:p>
        </w:tc>
      </w:tr>
      <w:tr>
        <w:trPr>
          <w:trHeight w:val="485"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703АВ</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Антидоты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Калий-железо гексацианоферрат*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w:t>
            </w:r>
          </w:p>
        </w:tc>
      </w:tr>
      <w:tr>
        <w:trPr>
          <w:trHeight w:val="960"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Кальция тринатрия пентетат*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внутривенного введения;</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введения и ингаляций</w:t>
            </w:r>
          </w:p>
        </w:tc>
      </w:tr>
      <w:tr>
        <w:trPr>
          <w:trHeight w:val="480"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Налоксон*</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w:t>
            </w:r>
          </w:p>
        </w:tc>
      </w:tr>
      <w:tr>
        <w:trPr>
          <w:trHeight w:val="75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703АС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Железосвязывающие препараты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Деферазирокс*</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диспергируемые;</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638"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703АЕ</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Препараты для лечения гиперкалиемии и гиперфосфатемии</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Кальция полистиролсульфонат*</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Порошок для приготовления суспензии для приема внутрь</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629" w:hRule="exact"/>
        </w:trPr>
        <w:tc>
          <w:tcPr>
            <w:vMerge w:val="restart"/>
            <w:tcBorders>
              <w:top w:val="single" w:sz="4"/>
              <w:left w:val="single" w:sz="4"/>
            </w:tcBorders>
            <w:shd w:val="clear" w:color="auto" w:fill="auto"/>
            <w:vAlign w:val="top"/>
          </w:tcPr>
          <w:p>
            <w:pPr>
              <w:widowControl w:val="0"/>
              <w:rPr>
                <w:sz w:val="10"/>
                <w:szCs w:val="10"/>
              </w:rPr>
            </w:pPr>
          </w:p>
        </w:tc>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Комплекс 0-железа (III) оксигидроксида, сахарозы и крахмала*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жевательные</w:t>
            </w:r>
          </w:p>
        </w:tc>
      </w:tr>
      <w:tr>
        <w:trPr>
          <w:trHeight w:val="42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Севеламер*</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1224"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703АЕ</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Дезинтоксикационные препараты для противоопухолевой терапии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Кальция фолинат*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4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внутривенного и внутримышечного введения;</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и внутримышечного введения</w:t>
            </w:r>
          </w:p>
        </w:tc>
      </w:tr>
      <w:tr>
        <w:trPr>
          <w:trHeight w:val="54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Месна*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введения</w:t>
            </w:r>
          </w:p>
        </w:tc>
      </w:tr>
      <w:tr>
        <w:trPr>
          <w:trHeight w:val="840"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703АХ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Прочие лечебные средства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Дезоксирибонуклеиновая кислота плазмидная (сверхскрученная кольцевая двуцепочечная)*</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Лиофилизат для приготовления раствора для внутримышечного введения</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706</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Лечебное питание</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7060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продукты лечебного питания</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70600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Аминокислоты, включая комбинации с полипептидами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Кетоаналоги аминокислот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Таблетки, покрытые пленочной оболочкой</w:t>
            </w: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707</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нелечебные средства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5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707А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Другие нелечебные средства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9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707АВ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Растворители и разбавители, включая ирригационные растворы</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Вода для инъекций*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Растворитель для приготовления лекарственных форм для инъекций</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708</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Контрастные средства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708А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Рентгеноконтрастные средства, содержащие йод</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708АА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Водорастворимые нефротропные высокоосмолярные рентгеноконтрастные средства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Натрия амидотризоат*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w:t>
            </w:r>
          </w:p>
        </w:tc>
      </w:tr>
      <w:tr>
        <w:trPr>
          <w:trHeight w:val="696"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708АВ</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Водорастворимые нефротропные низкоосмолярные рентгеноконтрастные средства</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Йоверсол*</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и внутриартериального введения</w:t>
            </w:r>
          </w:p>
        </w:tc>
      </w:tr>
    </w:tbl>
    <w:p>
      <w:pPr>
        <w:spacing w:lineRule="exact" w:line="1"/>
        <w:rPr>
          <w:sz w:val="2"/>
          <w:szCs w:val="2"/>
        </w:rPr>
      </w:pPr>
      <w:r>
        <w:br w:type="page"/>
      </w:r>
    </w:p>
    <w:tbl>
      <w:tblPr>
        <w:tblOverlap w:val="never"/>
        <w:jc w:val="center"/>
        <w:tblLayout w:type="fixed"/>
      </w:tblPr>
      <w:tblGrid>
        <w:gridCol w:w="1138"/>
        <w:gridCol w:w="4651"/>
        <w:gridCol w:w="3691"/>
        <w:gridCol w:w="4565"/>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Код АТХ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Анатомо-терапевтическо-химическая классификация (АТХ)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7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препараты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Лекарственные формы</w:t>
            </w:r>
          </w:p>
        </w:tc>
      </w:tr>
      <w:tr>
        <w:trPr>
          <w:trHeight w:val="422" w:hRule="exact"/>
        </w:trPr>
        <w:tc>
          <w:tcPr>
            <w:vMerge w:val="restart"/>
            <w:tcBorders>
              <w:top w:val="single" w:sz="4"/>
              <w:left w:val="single" w:sz="4"/>
            </w:tcBorders>
            <w:shd w:val="clear" w:color="auto" w:fill="auto"/>
            <w:vAlign w:val="top"/>
          </w:tcPr>
          <w:p>
            <w:pPr>
              <w:widowControl w:val="0"/>
              <w:rPr>
                <w:sz w:val="10"/>
                <w:szCs w:val="10"/>
              </w:rPr>
            </w:pPr>
          </w:p>
        </w:tc>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Йо гексол*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w:t>
            </w:r>
          </w:p>
        </w:tc>
      </w:tr>
      <w:tr>
        <w:trPr>
          <w:trHeight w:val="422"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Йомепрол*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w:t>
            </w:r>
          </w:p>
        </w:tc>
      </w:tr>
      <w:tr>
        <w:trPr>
          <w:trHeight w:val="42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Йопромид*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инъекций</w:t>
            </w: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У08С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Контрастные средства для магнитно-резонансной томографии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78"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У08СА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Парамагнитные контрастные средства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Гадобеновая кислота*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введения</w:t>
            </w:r>
          </w:p>
        </w:tc>
      </w:tr>
      <w:tr>
        <w:trPr>
          <w:trHeight w:val="298"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 адобутрол*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введения</w:t>
            </w:r>
          </w:p>
        </w:tc>
      </w:tr>
      <w:tr>
        <w:trPr>
          <w:trHeight w:val="298"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Гадодиамид*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введения</w:t>
            </w:r>
          </w:p>
        </w:tc>
      </w:tr>
      <w:tr>
        <w:trPr>
          <w:trHeight w:val="298"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Гадоксетовая кислота*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введения</w:t>
            </w:r>
          </w:p>
        </w:tc>
      </w:tr>
      <w:tr>
        <w:trPr>
          <w:trHeight w:val="298"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Гадопентетовая кислота*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введения</w:t>
            </w:r>
          </w:p>
        </w:tc>
      </w:tr>
      <w:tr>
        <w:trPr>
          <w:trHeight w:val="278"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 адотеридол*</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введения</w:t>
            </w:r>
          </w:p>
        </w:tc>
      </w:tr>
      <w:tr>
        <w:trPr>
          <w:trHeight w:val="307" w:hRule="exact"/>
        </w:trPr>
        <w:tc>
          <w:tcPr>
            <w:vMerge/>
            <w:tcBorders>
              <w:left w:val="single" w:sz="4"/>
              <w:bottom w:val="single" w:sz="4"/>
            </w:tcBorders>
            <w:shd w:val="clear" w:color="auto" w:fill="auto"/>
            <w:vAlign w:val="top"/>
          </w:tcPr>
          <w:p>
            <w:pPr/>
          </w:p>
        </w:tc>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Гадотеровая кислота*</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Раствор для внутривенного введения</w:t>
            </w:r>
          </w:p>
        </w:tc>
      </w:tr>
    </w:tbl>
    <w:p>
      <w:pPr>
        <w:widowControl w:val="0"/>
        <w:spacing w:after="319" w:line="1" w:lineRule="exact"/>
      </w:pPr>
    </w:p>
    <w:p>
      <w:pPr>
        <w:pStyle w:val="Style4"/>
        <w:keepNext w:val="0"/>
        <w:keepLines w:val="0"/>
        <w:widowControl w:val="0"/>
        <w:shd w:val="clear" w:color="auto" w:fill="auto"/>
        <w:bidi w:val="0"/>
        <w:spacing w:before="0" w:after="0" w:line="240" w:lineRule="auto"/>
        <w:ind w:left="0" w:right="0" w:firstLine="720"/>
        <w:jc w:val="left"/>
      </w:pPr>
      <w:r>
        <w:rPr>
          <w:color w:val="000000"/>
          <w:spacing w:val="0"/>
          <w:w w:val="100"/>
          <w:position w:val="0"/>
          <w:shd w:val="clear" w:color="auto" w:fill="auto"/>
          <w:lang w:val="ru-RU" w:eastAsia="ru-RU" w:bidi="ru-RU"/>
        </w:rPr>
        <w:t>* Лекарственные препараты для медицинского применения, назначаемые по решению врачебной комиссии медицинской организации.</w:t>
      </w:r>
    </w:p>
    <w:p>
      <w:pPr>
        <w:pStyle w:val="Style4"/>
        <w:keepNext w:val="0"/>
        <w:keepLines w:val="0"/>
        <w:widowControl w:val="0"/>
        <w:shd w:val="clear" w:color="auto" w:fill="auto"/>
        <w:bidi w:val="0"/>
        <w:spacing w:before="0" w:after="320" w:line="240" w:lineRule="auto"/>
        <w:ind w:left="0" w:right="0" w:firstLine="0"/>
        <w:jc w:val="right"/>
      </w:pPr>
      <w:r>
        <w:rPr>
          <w:color w:val="000000"/>
          <w:spacing w:val="0"/>
          <w:w w:val="100"/>
          <w:position w:val="0"/>
          <w:shd w:val="clear" w:color="auto" w:fill="auto"/>
          <w:lang w:val="ru-RU" w:eastAsia="ru-RU" w:bidi="ru-RU"/>
        </w:rPr>
        <w:t>Таблица № 2</w:t>
      </w:r>
    </w:p>
    <w:tbl>
      <w:tblPr>
        <w:tblOverlap w:val="never"/>
        <w:jc w:val="center"/>
        <w:tblLayout w:type="fixed"/>
      </w:tblPr>
      <w:tblGrid>
        <w:gridCol w:w="7166"/>
        <w:gridCol w:w="6926"/>
      </w:tblGrid>
      <w:tr>
        <w:trPr>
          <w:trHeight w:val="331" w:hRule="exact"/>
        </w:trPr>
        <w:tc>
          <w:tcPr>
            <w:gridSpan w:val="2"/>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Изделия медицинского назначения</w:t>
            </w:r>
          </w:p>
        </w:tc>
      </w:tr>
      <w:tr>
        <w:trPr>
          <w:trHeight w:val="3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Наименование</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Форма выпуска</w:t>
            </w:r>
          </w:p>
        </w:tc>
      </w:tr>
      <w:tr>
        <w:trPr>
          <w:trHeight w:val="288"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Бинт марлевый медицинский нестерильный</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Упаковка</w:t>
            </w:r>
          </w:p>
        </w:tc>
      </w:tr>
      <w:tr>
        <w:trPr>
          <w:trHeight w:val="293"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Вата медицинская гигроскопическая гигиеническая нестерильная</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Упаковка</w:t>
            </w:r>
          </w:p>
        </w:tc>
      </w:tr>
      <w:tr>
        <w:trPr>
          <w:trHeight w:val="288"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Игла к шприц-ручке</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Игла</w:t>
            </w:r>
          </w:p>
        </w:tc>
      </w:tr>
      <w:tr>
        <w:trPr>
          <w:trHeight w:val="293"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Лейкопластырь</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Упаковка</w:t>
            </w:r>
          </w:p>
        </w:tc>
      </w:tr>
      <w:tr>
        <w:trPr>
          <w:trHeight w:val="293"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Марля медицинская</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Отрез</w:t>
            </w:r>
          </w:p>
        </w:tc>
      </w:tr>
      <w:tr>
        <w:trPr>
          <w:trHeight w:val="288"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Тест-полоски для определения уровня глюкозы в крови</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Упаковка</w:t>
            </w:r>
          </w:p>
        </w:tc>
      </w:tr>
      <w:tr>
        <w:trPr>
          <w:trHeight w:val="288"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Шприц инсулиновый</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Шприц инсулиновый</w:t>
            </w:r>
          </w:p>
        </w:tc>
      </w:tr>
      <w:tr>
        <w:trPr>
          <w:trHeight w:val="298"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Шприц-ручка для введения инсулина</w:t>
            </w:r>
          </w:p>
        </w:tc>
        <w:tc>
          <w:tcPr>
            <w:tcBorders>
              <w:top w:val="single" w:sz="4"/>
              <w:left w:val="single" w:sz="4"/>
              <w:bottom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Шприц-ручка для введения инсулина</w:t>
            </w:r>
          </w:p>
        </w:tc>
      </w:tr>
    </w:tbl>
    <w:p>
      <w:pPr>
        <w:spacing w:lineRule="exact" w:line="1"/>
        <w:rPr>
          <w:sz w:val="2"/>
          <w:szCs w:val="2"/>
        </w:rPr>
      </w:pPr>
      <w:r>
        <w:br w:type="page"/>
      </w:r>
    </w:p>
    <w:p>
      <w:pPr>
        <w:pStyle w:val="Style4"/>
        <w:keepNext w:val="0"/>
        <w:keepLines w:val="0"/>
        <w:widowControl w:val="0"/>
        <w:shd w:val="clear" w:color="auto" w:fill="auto"/>
        <w:bidi w:val="0"/>
        <w:spacing w:before="0" w:after="320" w:line="240" w:lineRule="auto"/>
        <w:ind w:left="0" w:right="0" w:firstLine="0"/>
        <w:jc w:val="right"/>
      </w:pPr>
      <w:r>
        <w:rPr>
          <w:color w:val="000000"/>
          <w:spacing w:val="0"/>
          <w:w w:val="100"/>
          <w:position w:val="0"/>
          <w:shd w:val="clear" w:color="auto" w:fill="auto"/>
          <w:lang w:val="ru-RU" w:eastAsia="ru-RU" w:bidi="ru-RU"/>
        </w:rPr>
        <w:t>Таблица № 3</w:t>
      </w:r>
    </w:p>
    <w:tbl>
      <w:tblPr>
        <w:tblOverlap w:val="never"/>
        <w:jc w:val="center"/>
        <w:tblLayout w:type="fixed"/>
      </w:tblPr>
      <w:tblGrid>
        <w:gridCol w:w="7166"/>
        <w:gridCol w:w="6926"/>
      </w:tblGrid>
      <w:tr>
        <w:trPr>
          <w:trHeight w:val="336" w:hRule="exact"/>
        </w:trPr>
        <w:tc>
          <w:tcPr>
            <w:gridSpan w:val="2"/>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Специализированные продукты лечебного питания, без финилаланина, для детей, страдающих фенилкетонурией</w:t>
            </w:r>
          </w:p>
        </w:tc>
      </w:tr>
      <w:tr>
        <w:trPr>
          <w:trHeight w:val="32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Наименование</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Форма выпуска</w:t>
            </w:r>
          </w:p>
        </w:tc>
      </w:tr>
      <w:tr>
        <w:trPr>
          <w:trHeight w:val="293"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Безбелковые продукты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Упаковка</w:t>
            </w:r>
          </w:p>
        </w:tc>
      </w:tr>
      <w:tr>
        <w:trPr>
          <w:trHeight w:val="298"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Белковые гидролизаты</w:t>
            </w:r>
          </w:p>
        </w:tc>
        <w:tc>
          <w:tcPr>
            <w:tcBorders>
              <w:top w:val="single" w:sz="4"/>
              <w:left w:val="single" w:sz="4"/>
              <w:bottom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Упаковка</w:t>
            </w:r>
          </w:p>
        </w:tc>
      </w:tr>
    </w:tbl>
    <w:p>
      <w:pPr>
        <w:sectPr>
          <w:headerReference w:type="default" r:id="rId23"/>
          <w:footnotePr>
            <w:pos w:val="pageBottom"/>
            <w:numFmt w:val="decimal"/>
            <w:numRestart w:val="continuous"/>
          </w:footnotePr>
          <w:pgSz w:w="16840" w:h="11900" w:orient="landscape"/>
          <w:pgMar w:top="1128" w:right="1166" w:bottom="779" w:left="1533" w:header="0" w:footer="351" w:gutter="0"/>
          <w:pgNumType w:start="12"/>
          <w:cols w:space="720"/>
          <w:noEndnote/>
          <w:rtlGutter w:val="0"/>
          <w:docGrid w:linePitch="360"/>
        </w:sectPr>
      </w:pPr>
    </w:p>
    <w:p>
      <w:pPr>
        <w:pStyle w:val="Style4"/>
        <w:keepNext w:val="0"/>
        <w:keepLines w:val="0"/>
        <w:widowControl w:val="0"/>
        <w:shd w:val="clear" w:color="auto" w:fill="auto"/>
        <w:bidi w:val="0"/>
        <w:spacing w:before="0" w:after="480" w:line="240" w:lineRule="auto"/>
        <w:ind w:left="4320" w:right="0" w:firstLine="0"/>
        <w:jc w:val="right"/>
      </w:pPr>
      <w:r>
        <w:rPr>
          <w:color w:val="000000"/>
          <w:spacing w:val="0"/>
          <w:w w:val="100"/>
          <w:position w:val="0"/>
          <w:shd w:val="clear" w:color="auto" w:fill="auto"/>
          <w:lang w:val="ru-RU" w:eastAsia="ru-RU" w:bidi="ru-RU"/>
        </w:rPr>
        <w:t>Приложение № 2 к Территориальной программе государственных гарантий бесплатного оказания гражданам медицинской помощи в Омской области на 2026 год и на плановый период 2027 и 2028 годов</w:t>
      </w:r>
    </w:p>
    <w:p>
      <w:pPr>
        <w:pStyle w:val="Style4"/>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ru-RU" w:eastAsia="ru-RU" w:bidi="ru-RU"/>
        </w:rPr>
        <w:t>ПЕРЕЧЕНЬ</w:t>
        <w:br/>
        <w:t>видов высокотехнологичной медицинской помощи (далее - ВМП)</w:t>
      </w:r>
    </w:p>
    <w:p>
      <w:pPr>
        <w:pStyle w:val="Style4"/>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ru-RU" w:eastAsia="ru-RU" w:bidi="ru-RU"/>
        </w:rPr>
        <w:t>Раздел 1. Перечень видов ВМП, финансовое обеспечение которых осуществляется</w:t>
        <w:br/>
        <w:t>за счет субвенции из бюджета Федерального фонда обязательного</w:t>
        <w:br/>
        <w:t>медицинского страхования бюджету территориального фонда</w:t>
        <w:br/>
        <w:t>обязательного медицинского страхования Омской области</w:t>
      </w:r>
    </w:p>
    <w:tbl>
      <w:tblPr>
        <w:tblOverlap w:val="never"/>
        <w:jc w:val="center"/>
        <w:tblLayout w:type="fixed"/>
      </w:tblPr>
      <w:tblGrid>
        <w:gridCol w:w="912"/>
        <w:gridCol w:w="7565"/>
        <w:gridCol w:w="1752"/>
      </w:tblGrid>
      <w:tr>
        <w:trPr>
          <w:trHeight w:val="205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9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 группы ВМП</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Наименование вида ВМП</w:t>
            </w:r>
            <w:r>
              <w:rPr>
                <w:rFonts w:ascii="Arial" w:eastAsia="Arial" w:hAnsi="Arial" w:cs="Arial"/>
                <w:color w:val="000000"/>
                <w:spacing w:val="0"/>
                <w:w w:val="100"/>
                <w:position w:val="0"/>
                <w:sz w:val="18"/>
                <w:szCs w:val="18"/>
                <w:shd w:val="clear" w:color="auto" w:fill="auto"/>
                <w:vertAlign w:val="superscript"/>
                <w:lang w:val="ru-RU" w:eastAsia="ru-RU" w:bidi="ru-RU"/>
              </w:rPr>
              <w:t>1</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Норматив финансовых затрат на единицу объема предоставления медицинской</w:t>
            </w:r>
          </w:p>
          <w:p>
            <w:pPr>
              <w:pStyle w:val="Style23"/>
              <w:keepNext w:val="0"/>
              <w:keepLines w:val="0"/>
              <w:widowControl w:val="0"/>
              <w:shd w:val="clear" w:color="auto" w:fill="auto"/>
              <w:bidi w:val="0"/>
              <w:spacing w:before="0" w:after="0" w:line="331" w:lineRule="auto"/>
              <w:ind w:left="0" w:right="0" w:firstLine="0"/>
              <w:jc w:val="center"/>
              <w:rPr>
                <w:sz w:val="18"/>
                <w:szCs w:val="18"/>
              </w:rPr>
            </w:pPr>
            <w:r>
              <w:rPr>
                <w:b/>
                <w:bCs/>
                <w:color w:val="000000"/>
                <w:spacing w:val="0"/>
                <w:w w:val="100"/>
                <w:position w:val="0"/>
                <w:sz w:val="14"/>
                <w:szCs w:val="14"/>
                <w:shd w:val="clear" w:color="auto" w:fill="auto"/>
                <w:lang w:val="ru-RU" w:eastAsia="ru-RU" w:bidi="ru-RU"/>
              </w:rPr>
              <w:t>ПОМОЩИ</w:t>
            </w:r>
            <w:r>
              <w:rPr>
                <w:b/>
                <w:bCs/>
                <w:color w:val="000000"/>
                <w:spacing w:val="0"/>
                <w:w w:val="100"/>
                <w:position w:val="0"/>
                <w:sz w:val="14"/>
                <w:szCs w:val="14"/>
                <w:shd w:val="clear" w:color="auto" w:fill="auto"/>
                <w:vertAlign w:val="superscript"/>
                <w:lang w:val="ru-RU" w:eastAsia="ru-RU" w:bidi="ru-RU"/>
              </w:rPr>
              <w:t>2</w:t>
            </w:r>
            <w:r>
              <w:rPr>
                <w:b/>
                <w:bCs/>
                <w:color w:val="000000"/>
                <w:spacing w:val="0"/>
                <w:w w:val="100"/>
                <w:position w:val="0"/>
                <w:sz w:val="14"/>
                <w:szCs w:val="14"/>
                <w:shd w:val="clear" w:color="auto" w:fill="auto"/>
                <w:lang w:val="ru-RU" w:eastAsia="ru-RU" w:bidi="ru-RU"/>
              </w:rPr>
              <w:t xml:space="preserve">’ </w:t>
            </w:r>
            <w:r>
              <w:rPr>
                <w:b/>
                <w:bCs/>
                <w:color w:val="000000"/>
                <w:spacing w:val="0"/>
                <w:w w:val="100"/>
                <w:position w:val="0"/>
                <w:sz w:val="14"/>
                <w:szCs w:val="14"/>
                <w:shd w:val="clear" w:color="auto" w:fill="auto"/>
                <w:vertAlign w:val="superscript"/>
                <w:lang w:val="ru-RU" w:eastAsia="ru-RU" w:bidi="ru-RU"/>
              </w:rPr>
              <w:t>3</w:t>
            </w:r>
            <w:r>
              <w:rPr>
                <w:b/>
                <w:bCs/>
                <w:color w:val="000000"/>
                <w:spacing w:val="0"/>
                <w:w w:val="100"/>
                <w:position w:val="0"/>
                <w:sz w:val="14"/>
                <w:szCs w:val="14"/>
                <w:shd w:val="clear" w:color="auto" w:fill="auto"/>
                <w:lang w:val="ru-RU" w:eastAsia="ru-RU" w:bidi="ru-RU"/>
              </w:rPr>
              <w:t xml:space="preserve">, </w:t>
            </w:r>
            <w:r>
              <w:rPr>
                <w:rFonts w:ascii="Arial" w:eastAsia="Arial" w:hAnsi="Arial" w:cs="Arial"/>
                <w:color w:val="000000"/>
                <w:spacing w:val="0"/>
                <w:w w:val="100"/>
                <w:position w:val="0"/>
                <w:sz w:val="18"/>
                <w:szCs w:val="18"/>
                <w:shd w:val="clear" w:color="auto" w:fill="auto"/>
                <w:lang w:val="ru-RU" w:eastAsia="ru-RU" w:bidi="ru-RU"/>
              </w:rPr>
              <w:t>рублей</w:t>
            </w:r>
          </w:p>
        </w:tc>
      </w:tr>
      <w:tr>
        <w:trPr>
          <w:trHeight w:val="26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r>
      <w:tr>
        <w:trPr>
          <w:trHeight w:val="264"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Акушерство и гинекология</w:t>
            </w:r>
          </w:p>
        </w:tc>
      </w:tr>
      <w:tr>
        <w:trPr>
          <w:trHeight w:val="153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188 050</w:t>
            </w:r>
          </w:p>
        </w:tc>
      </w:tr>
      <w:tr>
        <w:trPr>
          <w:trHeight w:val="10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290 189</w:t>
            </w:r>
          </w:p>
        </w:tc>
      </w:tr>
      <w:tr>
        <w:trPr>
          <w:trHeight w:val="178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 резонансной томографии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178 921</w:t>
            </w:r>
          </w:p>
        </w:tc>
      </w:tr>
      <w:tr>
        <w:trPr>
          <w:trHeight w:val="127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tabs>
                <w:tab w:pos="1934" w:val="left"/>
                <w:tab w:pos="4339" w:val="left"/>
                <w:tab w:pos="5592" w:val="left"/>
              </w:tabs>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Хирургическое</w:t>
              <w:tab/>
              <w:t>органосохраняющее</w:t>
              <w:tab/>
              <w:t>лечение</w:t>
              <w:tab/>
              <w:t>инфильтративного</w:t>
            </w:r>
          </w:p>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 комбинированного доступа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314 977</w:t>
            </w:r>
          </w:p>
        </w:tc>
      </w:tr>
      <w:tr>
        <w:trPr>
          <w:trHeight w:val="264"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Г астроэнтерология</w:t>
            </w:r>
          </w:p>
        </w:tc>
      </w:tr>
      <w:tr>
        <w:trPr>
          <w:trHeight w:val="1282"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189 402</w:t>
            </w:r>
          </w:p>
        </w:tc>
      </w:tr>
    </w:tbl>
    <w:p>
      <w:pPr>
        <w:sectPr>
          <w:headerReference w:type="default" r:id="rId24"/>
          <w:footnotePr>
            <w:pos w:val="pageBottom"/>
            <w:numFmt w:val="decimal"/>
            <w:numRestart w:val="continuous"/>
          </w:footnotePr>
          <w:pgSz w:w="11900" w:h="16840"/>
          <w:pgMar w:top="1129" w:right="767" w:bottom="865" w:left="851" w:header="701" w:footer="437" w:gutter="0"/>
          <w:pgNumType w:start="154"/>
          <w:cols w:space="720"/>
          <w:noEndnote/>
          <w:rtlGutter w:val="0"/>
          <w:docGrid w:linePitch="360"/>
        </w:sectPr>
      </w:pPr>
    </w:p>
    <w:tbl>
      <w:tblPr>
        <w:tblOverlap w:val="never"/>
        <w:jc w:val="center"/>
        <w:tblLayout w:type="fixed"/>
      </w:tblPr>
      <w:tblGrid>
        <w:gridCol w:w="912"/>
        <w:gridCol w:w="7565"/>
        <w:gridCol w:w="1752"/>
      </w:tblGrid>
      <w:tr>
        <w:trPr>
          <w:trHeight w:val="26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r>
      <w:tr>
        <w:trPr>
          <w:trHeight w:val="264" w:hRule="exact"/>
        </w:trPr>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морфологических, гистохимических инструментальных исследований</w:t>
            </w:r>
          </w:p>
        </w:tc>
        <w:tc>
          <w:tcPr>
            <w:vMerge w:val="restart"/>
            <w:tcBorders>
              <w:top w:val="single" w:sz="4"/>
              <w:left w:val="single" w:sz="4"/>
              <w:right w:val="single" w:sz="4"/>
            </w:tcBorders>
            <w:shd w:val="clear" w:color="auto" w:fill="auto"/>
            <w:vAlign w:val="top"/>
          </w:tcPr>
          <w:p>
            <w:pPr>
              <w:widowControl w:val="0"/>
              <w:rPr>
                <w:sz w:val="10"/>
                <w:szCs w:val="10"/>
              </w:rPr>
            </w:pPr>
          </w:p>
        </w:tc>
      </w:tr>
      <w:tr>
        <w:trPr>
          <w:trHeight w:val="1272"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tabs>
                <w:tab w:pos="2822" w:val="left"/>
                <w:tab w:pos="5218" w:val="left"/>
                <w:tab w:pos="7224" w:val="left"/>
              </w:tabs>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Поликомпонентная терапия при аутоиммунном перекресте с применением химиотерапевтических,</w:t>
              <w:tab/>
              <w:t>генно-инженерных</w:t>
              <w:tab/>
              <w:t>биологических</w:t>
              <w:tab/>
              <w:t>и</w:t>
            </w:r>
          </w:p>
          <w:p>
            <w:pPr>
              <w:pStyle w:val="Style23"/>
              <w:keepNext w:val="0"/>
              <w:keepLines w:val="0"/>
              <w:widowControl w:val="0"/>
              <w:shd w:val="clear" w:color="auto" w:fill="auto"/>
              <w:tabs>
                <w:tab w:pos="2136" w:val="left"/>
                <w:tab w:pos="4018" w:val="left"/>
                <w:tab w:pos="5539" w:val="left"/>
                <w:tab w:pos="6346" w:val="left"/>
              </w:tabs>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противовирусных</w:t>
              <w:tab/>
              <w:t>лекарственных</w:t>
              <w:tab/>
              <w:t>препаратов</w:t>
              <w:tab/>
              <w:t>под</w:t>
              <w:tab/>
              <w:t>контролем</w:t>
            </w:r>
          </w:p>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иммунологических, морфологических, гистохимических инструментальных исследований (включая магнитно-резонансную холангиографию)</w:t>
            </w:r>
          </w:p>
        </w:tc>
        <w:tc>
          <w:tcPr>
            <w:vMerge/>
            <w:tcBorders>
              <w:left w:val="single" w:sz="4"/>
              <w:right w:val="single" w:sz="4"/>
            </w:tcBorders>
            <w:shd w:val="clear" w:color="auto" w:fill="auto"/>
            <w:vAlign w:val="top"/>
          </w:tcPr>
          <w:p>
            <w:pPr/>
          </w:p>
        </w:tc>
      </w:tr>
      <w:tr>
        <w:trPr>
          <w:trHeight w:val="264"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Г ематология</w:t>
            </w:r>
          </w:p>
        </w:tc>
      </w:tr>
      <w:tr>
        <w:trPr>
          <w:trHeight w:val="178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218 065</w:t>
            </w:r>
          </w:p>
        </w:tc>
      </w:tr>
      <w:tr>
        <w:trPr>
          <w:trHeight w:val="5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Интенсивная терапия, включающая методы экстракорпорального воздействия на кровь у больных с порфириями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596 440</w:t>
            </w:r>
          </w:p>
        </w:tc>
      </w:tr>
      <w:tr>
        <w:trPr>
          <w:trHeight w:val="259"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Детская хирургия в период новорожденности</w:t>
            </w:r>
          </w:p>
        </w:tc>
      </w:tr>
      <w:tr>
        <w:trPr>
          <w:trHeight w:val="76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403 787</w:t>
            </w:r>
          </w:p>
        </w:tc>
      </w:tr>
      <w:tr>
        <w:trPr>
          <w:trHeight w:val="264"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Дерматовенерология</w:t>
            </w:r>
          </w:p>
        </w:tc>
      </w:tr>
      <w:tr>
        <w:trPr>
          <w:trHeight w:val="768"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148 781</w:t>
            </w:r>
          </w:p>
        </w:tc>
      </w:tr>
      <w:tr>
        <w:trPr>
          <w:trHeight w:val="76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vMerge/>
            <w:tcBorders>
              <w:left w:val="single" w:sz="4"/>
              <w:right w:val="single" w:sz="4"/>
            </w:tcBorders>
            <w:shd w:val="clear" w:color="auto" w:fill="auto"/>
            <w:vAlign w:val="top"/>
          </w:tcPr>
          <w:p>
            <w:pPr/>
          </w:p>
        </w:tc>
      </w:tr>
      <w:tr>
        <w:trPr>
          <w:trHeight w:val="264"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Комбустиология</w:t>
            </w:r>
          </w:p>
        </w:tc>
      </w:tr>
      <w:tr>
        <w:trPr>
          <w:trHeight w:val="76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819 549</w:t>
            </w:r>
          </w:p>
        </w:tc>
      </w:tr>
      <w:tr>
        <w:trPr>
          <w:trHeight w:val="773"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2 263 272</w:t>
            </w:r>
          </w:p>
        </w:tc>
      </w:tr>
      <w:tr>
        <w:trPr>
          <w:trHeight w:val="264"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Нейрохирургия</w:t>
            </w:r>
          </w:p>
        </w:tc>
      </w:tr>
      <w:tr>
        <w:trPr>
          <w:trHeight w:val="1018"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231 981</w:t>
            </w:r>
          </w:p>
        </w:tc>
      </w:tr>
      <w:tr>
        <w:trPr>
          <w:trHeight w:val="76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vMerge/>
            <w:tcBorders>
              <w:left w:val="single" w:sz="4"/>
              <w:right w:val="single" w:sz="4"/>
            </w:tcBorders>
            <w:shd w:val="clear" w:color="auto" w:fill="auto"/>
            <w:vAlign w:val="top"/>
          </w:tcPr>
          <w:p>
            <w:pPr/>
          </w:p>
        </w:tc>
      </w:tr>
      <w:tr>
        <w:trPr>
          <w:trHeight w:val="1786"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tabs>
                <w:tab w:pos="2088" w:val="left"/>
                <w:tab w:pos="3922" w:val="left"/>
                <w:tab w:pos="5112" w:val="left"/>
                <w:tab w:pos="7229" w:val="left"/>
              </w:tabs>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w:t>
              <w:tab/>
              <w:t>церебральных</w:t>
              <w:tab/>
              <w:t>кистах,</w:t>
              <w:tab/>
              <w:t>злокачественных</w:t>
              <w:tab/>
              <w:t>и</w:t>
            </w:r>
          </w:p>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доброкачественных новообразованиях шишковидной железы (в том числе кистозных), туберозном склерозе, гамартозе</w:t>
            </w:r>
          </w:p>
        </w:tc>
        <w:tc>
          <w:tcPr>
            <w:vMerge/>
            <w:tcBorders>
              <w:left w:val="single" w:sz="4"/>
              <w:right w:val="single" w:sz="4"/>
            </w:tcBorders>
            <w:shd w:val="clear" w:color="auto" w:fill="auto"/>
            <w:vAlign w:val="top"/>
          </w:tcPr>
          <w:p>
            <w:pPr/>
          </w:p>
        </w:tc>
      </w:tr>
      <w:tr>
        <w:trPr>
          <w:trHeight w:val="101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vMerge/>
            <w:tcBorders>
              <w:left w:val="single" w:sz="4"/>
              <w:right w:val="single" w:sz="4"/>
            </w:tcBorders>
            <w:shd w:val="clear" w:color="auto" w:fill="auto"/>
            <w:vAlign w:val="top"/>
          </w:tcPr>
          <w:p>
            <w:pPr/>
          </w:p>
        </w:tc>
      </w:tr>
      <w:tr>
        <w:trPr>
          <w:trHeight w:val="778" w:hRule="exact"/>
        </w:trPr>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w:t>
            </w:r>
          </w:p>
        </w:tc>
        <w:tc>
          <w:tcPr>
            <w:vMerge/>
            <w:tcBorders>
              <w:left w:val="single" w:sz="4"/>
              <w:bottom w:val="single" w:sz="4"/>
              <w:right w:val="single" w:sz="4"/>
            </w:tcBorders>
            <w:shd w:val="clear" w:color="auto" w:fill="auto"/>
            <w:vAlign w:val="top"/>
          </w:tcPr>
          <w:p>
            <w:pPr/>
          </w:p>
        </w:tc>
      </w:tr>
    </w:tbl>
    <w:p>
      <w:pPr>
        <w:spacing w:lineRule="exact" w:line="1"/>
        <w:rPr>
          <w:sz w:val="2"/>
          <w:szCs w:val="2"/>
        </w:rPr>
      </w:pPr>
      <w:r>
        <w:br w:type="page"/>
      </w:r>
    </w:p>
    <w:tbl>
      <w:tblPr>
        <w:tblOverlap w:val="never"/>
        <w:jc w:val="center"/>
        <w:tblLayout w:type="fixed"/>
      </w:tblPr>
      <w:tblGrid>
        <w:gridCol w:w="912"/>
        <w:gridCol w:w="7565"/>
        <w:gridCol w:w="1752"/>
      </w:tblGrid>
      <w:tr>
        <w:trPr>
          <w:trHeight w:val="26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r>
      <w:tr>
        <w:trPr>
          <w:trHeight w:val="514" w:hRule="exact"/>
        </w:trPr>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копчика при условии вовлечения твердой мозговой оболочки, корешков и спинномозговых нервов</w:t>
            </w:r>
          </w:p>
        </w:tc>
        <w:tc>
          <w:tcPr>
            <w:vMerge w:val="restart"/>
            <w:tcBorders>
              <w:top w:val="single" w:sz="4"/>
              <w:left w:val="single" w:sz="4"/>
              <w:right w:val="single" w:sz="4"/>
            </w:tcBorders>
            <w:shd w:val="clear" w:color="auto" w:fill="auto"/>
            <w:vAlign w:val="top"/>
          </w:tcPr>
          <w:p>
            <w:pPr>
              <w:widowControl w:val="0"/>
              <w:rPr>
                <w:sz w:val="10"/>
                <w:szCs w:val="10"/>
              </w:rPr>
            </w:pPr>
          </w:p>
        </w:tc>
      </w:tr>
      <w:tr>
        <w:trPr>
          <w:trHeight w:val="514"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Микрохирургические вмешательства при патологии сосудов головного и спинного мозга, внутримозговых и внутрижелудочковых гематомах</w:t>
            </w:r>
          </w:p>
        </w:tc>
        <w:tc>
          <w:tcPr>
            <w:vMerge/>
            <w:tcBorders>
              <w:left w:val="single" w:sz="4"/>
              <w:right w:val="single" w:sz="4"/>
            </w:tcBorders>
            <w:shd w:val="clear" w:color="auto" w:fill="auto"/>
            <w:vAlign w:val="top"/>
          </w:tcPr>
          <w:p>
            <w:pPr/>
          </w:p>
        </w:tc>
      </w:tr>
      <w:tr>
        <w:trPr>
          <w:trHeight w:val="51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Реконструктивные вмешательства на экстракраниальных отделах церебральных артерий</w:t>
            </w:r>
          </w:p>
        </w:tc>
        <w:tc>
          <w:tcPr>
            <w:vMerge/>
            <w:tcBorders>
              <w:left w:val="single" w:sz="4"/>
              <w:right w:val="single" w:sz="4"/>
            </w:tcBorders>
            <w:shd w:val="clear" w:color="auto" w:fill="auto"/>
            <w:vAlign w:val="top"/>
          </w:tcPr>
          <w:p>
            <w:pPr/>
          </w:p>
        </w:tc>
      </w:tr>
      <w:tr>
        <w:trPr>
          <w:trHeight w:val="773"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vMerge/>
            <w:tcBorders>
              <w:left w:val="single" w:sz="4"/>
              <w:right w:val="single" w:sz="4"/>
            </w:tcBorders>
            <w:shd w:val="clear" w:color="auto" w:fill="auto"/>
            <w:vAlign w:val="top"/>
          </w:tcPr>
          <w:p>
            <w:pPr/>
          </w:p>
        </w:tc>
      </w:tr>
      <w:tr>
        <w:trPr>
          <w:trHeight w:val="5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Внутрисосудистый тромболизис при окклюзиях церебральных артерий и синусов</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349 176</w:t>
            </w:r>
          </w:p>
        </w:tc>
      </w:tr>
      <w:tr>
        <w:trPr>
          <w:trHeight w:val="10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221 958</w:t>
            </w:r>
          </w:p>
        </w:tc>
      </w:tr>
      <w:tr>
        <w:trPr>
          <w:trHeight w:val="10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318 543</w:t>
            </w:r>
          </w:p>
        </w:tc>
      </w:tr>
      <w:tr>
        <w:trPr>
          <w:trHeight w:val="2035"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436 013</w:t>
            </w:r>
          </w:p>
        </w:tc>
      </w:tr>
      <w:tr>
        <w:trPr>
          <w:trHeight w:val="127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572 056</w:t>
            </w:r>
          </w:p>
        </w:tc>
      </w:tr>
      <w:tr>
        <w:trPr>
          <w:trHeight w:val="5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Замена нейростимуляторов и помп на постоянных источниках тока для нейростимуляции головного и спинного мозга, периферических нервов</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1 408 597</w:t>
            </w:r>
          </w:p>
        </w:tc>
      </w:tr>
      <w:tr>
        <w:trPr>
          <w:trHeight w:val="264" w:hRule="exact"/>
        </w:trPr>
        <w:tc>
          <w:tcPr>
            <w:gridSpan w:val="3"/>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Неонатология</w:t>
            </w:r>
          </w:p>
        </w:tc>
      </w:tr>
      <w:tr>
        <w:trPr>
          <w:trHeight w:val="177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353 210</w:t>
            </w:r>
          </w:p>
        </w:tc>
      </w:tr>
      <w:tr>
        <w:trPr>
          <w:trHeight w:val="178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 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736 389</w:t>
            </w:r>
          </w:p>
        </w:tc>
      </w:tr>
      <w:tr>
        <w:trPr>
          <w:trHeight w:val="259" w:hRule="exact"/>
        </w:trPr>
        <w:tc>
          <w:tcPr>
            <w:gridSpan w:val="3"/>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Онкология</w:t>
            </w:r>
          </w:p>
        </w:tc>
      </w:tr>
      <w:tr>
        <w:trPr>
          <w:trHeight w:val="1022"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272 222</w:t>
            </w:r>
          </w:p>
        </w:tc>
      </w:tr>
      <w:tr>
        <w:trPr>
          <w:trHeight w:val="523" w:hRule="exact"/>
        </w:trPr>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tabs>
                <w:tab w:pos="3672" w:val="left"/>
                <w:tab w:pos="6365" w:val="left"/>
              </w:tabs>
              <w:bidi w:val="0"/>
              <w:spacing w:before="0" w:after="4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w:t>
              <w:tab/>
              <w:t>микрохирургические,</w:t>
              <w:tab/>
              <w:t>обширные</w:t>
            </w:r>
          </w:p>
          <w:p>
            <w:pPr>
              <w:pStyle w:val="Style23"/>
              <w:keepNext w:val="0"/>
              <w:keepLines w:val="0"/>
              <w:widowControl w:val="0"/>
              <w:shd w:val="clear" w:color="auto" w:fill="auto"/>
              <w:tabs>
                <w:tab w:pos="2352" w:val="left"/>
                <w:tab w:pos="5942" w:val="left"/>
              </w:tabs>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циторедуктивные,</w:t>
              <w:tab/>
              <w:t>расширенно-комбинированные</w:t>
              <w:tab/>
              <w:t>хирургические</w:t>
            </w:r>
          </w:p>
        </w:tc>
        <w:tc>
          <w:tcPr>
            <w:vMerge/>
            <w:tcBorders>
              <w:left w:val="single" w:sz="4"/>
              <w:bottom w:val="single" w:sz="4"/>
              <w:right w:val="single" w:sz="4"/>
            </w:tcBorders>
            <w:shd w:val="clear" w:color="auto" w:fill="auto"/>
            <w:vAlign w:val="top"/>
          </w:tcPr>
          <w:p>
            <w:pPr/>
          </w:p>
        </w:tc>
      </w:tr>
    </w:tbl>
    <w:p>
      <w:pPr>
        <w:spacing w:lineRule="exact" w:line="1"/>
        <w:rPr>
          <w:sz w:val="2"/>
          <w:szCs w:val="2"/>
        </w:rPr>
      </w:pPr>
      <w:r>
        <w:br w:type="page"/>
      </w:r>
    </w:p>
    <w:tbl>
      <w:tblPr>
        <w:tblOverlap w:val="never"/>
        <w:jc w:val="center"/>
        <w:tblLayout w:type="fixed"/>
      </w:tblPr>
      <w:tblGrid>
        <w:gridCol w:w="912"/>
        <w:gridCol w:w="7565"/>
        <w:gridCol w:w="1752"/>
      </w:tblGrid>
      <w:tr>
        <w:trPr>
          <w:trHeight w:val="26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r>
      <w:tr>
        <w:trPr>
          <w:trHeight w:val="768" w:hRule="exact"/>
        </w:trPr>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вмешательства, в том числе с применением физических факторов (гипертермия, радиочастотная термоабляция, лазерная и криодеструкция и др.) при злокачественных новообразованиях, в том числе у детей</w:t>
            </w:r>
          </w:p>
        </w:tc>
        <w:tc>
          <w:tcPr>
            <w:vMerge w:val="restart"/>
            <w:tcBorders>
              <w:top w:val="single" w:sz="4"/>
              <w:left w:val="single" w:sz="4"/>
              <w:right w:val="single" w:sz="4"/>
            </w:tcBorders>
            <w:shd w:val="clear" w:color="auto" w:fill="auto"/>
            <w:vAlign w:val="top"/>
          </w:tcPr>
          <w:p>
            <w:pPr>
              <w:widowControl w:val="0"/>
              <w:rPr>
                <w:sz w:val="10"/>
                <w:szCs w:val="10"/>
              </w:rPr>
            </w:pPr>
          </w:p>
        </w:tc>
      </w:tr>
      <w:tr>
        <w:trPr>
          <w:trHeight w:val="1022"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vMerge/>
            <w:tcBorders>
              <w:left w:val="single" w:sz="4"/>
              <w:right w:val="single" w:sz="4"/>
            </w:tcBorders>
            <w:shd w:val="clear" w:color="auto" w:fill="auto"/>
            <w:vAlign w:val="top"/>
          </w:tcPr>
          <w:p>
            <w:pPr/>
          </w:p>
        </w:tc>
      </w:tr>
      <w:tr>
        <w:trPr>
          <w:trHeight w:val="5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Высокоинтенсивная фокусированная ультразвуковая терапия (Н1Е11) при злокачественных новообразованиях, в том числе у детей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155 690</w:t>
            </w:r>
          </w:p>
        </w:tc>
      </w:tr>
      <w:tr>
        <w:trPr>
          <w:trHeight w:val="152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200 305</w:t>
            </w:r>
          </w:p>
        </w:tc>
      </w:tr>
      <w:tr>
        <w:trPr>
          <w:trHeight w:val="773"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АЬ-амилоидоза у взрослых</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549 050</w:t>
            </w:r>
          </w:p>
        </w:tc>
      </w:tr>
      <w:tr>
        <w:trPr>
          <w:trHeight w:val="5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Дистанционная лучевая терапия в радиотерапевтических отделениях при злокачественных новообразованиях</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106 735</w:t>
            </w:r>
          </w:p>
        </w:tc>
      </w:tr>
      <w:tr>
        <w:trPr>
          <w:trHeight w:val="5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Дистанционная лучевая терапия в радиотерапевтических отделениях при злокачественных новообразованиях</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240 178</w:t>
            </w:r>
          </w:p>
        </w:tc>
      </w:tr>
      <w:tr>
        <w:trPr>
          <w:trHeight w:val="5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Дистанционная лучевая терапия в радиотерапевтических отделениях при злокачественных новообразованиях</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318 956</w:t>
            </w:r>
          </w:p>
        </w:tc>
      </w:tr>
      <w:tr>
        <w:trPr>
          <w:trHeight w:val="10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142 181</w:t>
            </w:r>
          </w:p>
        </w:tc>
      </w:tr>
      <w:tr>
        <w:trPr>
          <w:trHeight w:val="264"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Оториноларингология</w:t>
            </w:r>
          </w:p>
        </w:tc>
      </w:tr>
      <w:tr>
        <w:trPr>
          <w:trHeight w:val="5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30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операции на звукопроводящем аппарате среднего уха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162 970</w:t>
            </w:r>
          </w:p>
        </w:tc>
      </w:tr>
      <w:tr>
        <w:trPr>
          <w:trHeight w:val="518"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30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Хирургическое лечение болезни Меньера и других нарушений вестибулярной функции</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95 060</w:t>
            </w:r>
          </w:p>
        </w:tc>
      </w:tr>
      <w:tr>
        <w:trPr>
          <w:trHeight w:val="514"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Хирургическое лечение хронических воспалительных заболеваний носа, околоносовых пазух и глотки</w:t>
            </w:r>
          </w:p>
        </w:tc>
        <w:tc>
          <w:tcPr>
            <w:vMerge/>
            <w:tcBorders>
              <w:left w:val="single" w:sz="4"/>
              <w:right w:val="single" w:sz="4"/>
            </w:tcBorders>
            <w:shd w:val="clear" w:color="auto" w:fill="auto"/>
            <w:vAlign w:val="top"/>
          </w:tcPr>
          <w:p>
            <w:pPr/>
          </w:p>
        </w:tc>
      </w:tr>
      <w:tr>
        <w:trPr>
          <w:trHeight w:val="269"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Реконструктивно-пластическое восстановление функции гортани и трахеи</w:t>
            </w:r>
          </w:p>
        </w:tc>
        <w:tc>
          <w:tcPr>
            <w:vMerge/>
            <w:tcBorders>
              <w:left w:val="single" w:sz="4"/>
              <w:right w:val="single" w:sz="4"/>
            </w:tcBorders>
            <w:shd w:val="clear" w:color="auto" w:fill="auto"/>
            <w:vAlign w:val="top"/>
          </w:tcPr>
          <w:p>
            <w:pPr/>
          </w:p>
        </w:tc>
      </w:tr>
      <w:tr>
        <w:trPr>
          <w:trHeight w:val="514"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Хирургические вмешательства по реконструкции и восстановлению анатомической целостности структур носа и околоносовых пазух</w:t>
            </w:r>
          </w:p>
        </w:tc>
        <w:tc>
          <w:tcPr>
            <w:vMerge/>
            <w:tcBorders>
              <w:left w:val="single" w:sz="4"/>
              <w:right w:val="single" w:sz="4"/>
            </w:tcBorders>
            <w:shd w:val="clear" w:color="auto" w:fill="auto"/>
            <w:vAlign w:val="top"/>
          </w:tcPr>
          <w:p>
            <w:pPr/>
          </w:p>
        </w:tc>
      </w:tr>
      <w:tr>
        <w:trPr>
          <w:trHeight w:val="5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31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Хирургическое лечение доброкачественных новообразований среднего уха, полости носа и придаточных пазух, гортани и глотки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195 604</w:t>
            </w:r>
          </w:p>
        </w:tc>
      </w:tr>
      <w:tr>
        <w:trPr>
          <w:trHeight w:val="264"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Офтальмология</w:t>
            </w:r>
          </w:p>
        </w:tc>
      </w:tr>
      <w:tr>
        <w:trPr>
          <w:trHeight w:val="768"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32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89 593</w:t>
            </w:r>
          </w:p>
        </w:tc>
      </w:tr>
      <w:tr>
        <w:trPr>
          <w:trHeight w:val="773"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Транспупиллярная, микроинвазивная энергетическая оптико</w:t>
              <w:softHyphen/>
              <w:t>реконструктивная, интравитреальная, эндовитреальная 23 - 27 гейджевая хирургия при витреоретинальной патологии различного генеза</w:t>
            </w:r>
          </w:p>
        </w:tc>
        <w:tc>
          <w:tcPr>
            <w:vMerge/>
            <w:tcBorders>
              <w:left w:val="single" w:sz="4"/>
              <w:right w:val="single" w:sz="4"/>
            </w:tcBorders>
            <w:shd w:val="clear" w:color="auto" w:fill="auto"/>
            <w:vAlign w:val="top"/>
          </w:tcPr>
          <w:p>
            <w:pPr/>
          </w:p>
        </w:tc>
      </w:tr>
      <w:tr>
        <w:trPr>
          <w:trHeight w:val="514"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и оптико-реконструктивные операции при травмах (открытых, закрытых) глаза, его придаточного аппарата, орбиты</w:t>
            </w:r>
          </w:p>
        </w:tc>
        <w:tc>
          <w:tcPr>
            <w:vMerge/>
            <w:tcBorders>
              <w:left w:val="single" w:sz="4"/>
              <w:right w:val="single" w:sz="4"/>
            </w:tcBorders>
            <w:shd w:val="clear" w:color="auto" w:fill="auto"/>
            <w:vAlign w:val="top"/>
          </w:tcPr>
          <w:p>
            <w:pPr/>
          </w:p>
        </w:tc>
      </w:tr>
      <w:tr>
        <w:trPr>
          <w:trHeight w:val="1022"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vMerge/>
            <w:tcBorders>
              <w:left w:val="single" w:sz="4"/>
              <w:right w:val="single" w:sz="4"/>
            </w:tcBorders>
            <w:shd w:val="clear" w:color="auto" w:fill="auto"/>
            <w:vAlign w:val="top"/>
          </w:tcPr>
          <w:p>
            <w:pPr/>
          </w:p>
        </w:tc>
      </w:tr>
      <w:tr>
        <w:trPr>
          <w:trHeight w:val="778" w:hRule="exact"/>
        </w:trPr>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vMerge/>
            <w:tcBorders>
              <w:left w:val="single" w:sz="4"/>
              <w:bottom w:val="single" w:sz="4"/>
              <w:right w:val="single" w:sz="4"/>
            </w:tcBorders>
            <w:shd w:val="clear" w:color="auto" w:fill="auto"/>
            <w:vAlign w:val="top"/>
          </w:tcPr>
          <w:p>
            <w:pPr/>
          </w:p>
        </w:tc>
      </w:tr>
    </w:tbl>
    <w:p>
      <w:pPr>
        <w:spacing w:lineRule="exact" w:line="1"/>
        <w:rPr>
          <w:sz w:val="2"/>
          <w:szCs w:val="2"/>
        </w:rPr>
      </w:pPr>
      <w:r>
        <w:br w:type="page"/>
      </w:r>
    </w:p>
    <w:tbl>
      <w:tblPr>
        <w:tblOverlap w:val="never"/>
        <w:jc w:val="center"/>
        <w:tblLayout w:type="fixed"/>
      </w:tblPr>
      <w:tblGrid>
        <w:gridCol w:w="912"/>
        <w:gridCol w:w="7565"/>
        <w:gridCol w:w="1752"/>
      </w:tblGrid>
      <w:tr>
        <w:trPr>
          <w:trHeight w:val="26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r>
      <w:tr>
        <w:trPr>
          <w:trHeight w:val="127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33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5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129 809</w:t>
            </w:r>
          </w:p>
        </w:tc>
      </w:tr>
      <w:tr>
        <w:trPr>
          <w:trHeight w:val="773"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34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Комплексное лечение болезней роговицы, включая оптико</w:t>
              <w:softHyphen/>
              <w:t>реконструктивную и лазерную хирургию, интенсивное консервативное лечение язвы роговицы</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5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124 494</w:t>
            </w:r>
          </w:p>
        </w:tc>
      </w:tr>
      <w:tr>
        <w:trPr>
          <w:trHeight w:val="5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35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и оптико-реконструктивные операции при травмах (открытых, закрытых) глаза, его придаточного аппарата, орбиты</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5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125 620</w:t>
            </w:r>
          </w:p>
        </w:tc>
      </w:tr>
      <w:tr>
        <w:trPr>
          <w:trHeight w:val="76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36</w:t>
            </w:r>
          </w:p>
        </w:tc>
        <w:tc>
          <w:tcPr>
            <w:tcBorders>
              <w:top w:val="single" w:sz="4"/>
              <w:left w:val="single" w:sz="4"/>
            </w:tcBorders>
            <w:shd w:val="clear" w:color="auto" w:fill="auto"/>
            <w:vAlign w:val="top"/>
          </w:tcPr>
          <w:p>
            <w:pPr>
              <w:pStyle w:val="Style23"/>
              <w:keepNext w:val="0"/>
              <w:keepLines w:val="0"/>
              <w:widowControl w:val="0"/>
              <w:shd w:val="clear" w:color="auto" w:fill="auto"/>
              <w:tabs>
                <w:tab w:pos="2386" w:val="left"/>
                <w:tab w:pos="4603" w:val="left"/>
                <w:tab w:pos="6610" w:val="left"/>
              </w:tabs>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Транспупиллярная,</w:t>
              <w:tab/>
              <w:t>микроинвазивная</w:t>
              <w:tab/>
              <w:t>энергетическая</w:t>
              <w:tab/>
              <w:t>оптико-</w:t>
            </w:r>
          </w:p>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реконструтивная, лазерная хирургия при патологии глазного дна различного генеза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5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53 355</w:t>
            </w:r>
          </w:p>
        </w:tc>
      </w:tr>
      <w:tr>
        <w:trPr>
          <w:trHeight w:val="5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37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Комплексное хирургическое лечение прогрессирующей миопии с использованием технологий стабилизации склерального коллагена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5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72 873</w:t>
            </w:r>
          </w:p>
        </w:tc>
      </w:tr>
      <w:tr>
        <w:trPr>
          <w:trHeight w:val="5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38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Реконструктивно-пластическая хирургия конъюнктивальной полости при рубцовых и дегенеративных изменениях конъюнктивы</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5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60 347</w:t>
            </w:r>
          </w:p>
        </w:tc>
      </w:tr>
      <w:tr>
        <w:trPr>
          <w:trHeight w:val="264"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Педиатрия</w:t>
            </w:r>
          </w:p>
        </w:tc>
      </w:tr>
      <w:tr>
        <w:trPr>
          <w:trHeight w:val="768"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39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Поликомпонентное лечение болезни Вильсона, болезни Гоше, мальабсорбции с применением химиотерапевтических лекарственных препаратов</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5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123 878</w:t>
            </w:r>
          </w:p>
        </w:tc>
      </w:tr>
      <w:tr>
        <w:trPr>
          <w:trHeight w:val="514"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Поликомпонентное иммуносупрессивное лечение локальных и распространенных форм системного склероза</w:t>
            </w:r>
          </w:p>
        </w:tc>
        <w:tc>
          <w:tcPr>
            <w:vMerge/>
            <w:tcBorders>
              <w:left w:val="single" w:sz="4"/>
              <w:right w:val="single" w:sz="4"/>
            </w:tcBorders>
            <w:shd w:val="clear" w:color="auto" w:fill="auto"/>
            <w:vAlign w:val="top"/>
          </w:tcPr>
          <w:p>
            <w:pPr/>
          </w:p>
        </w:tc>
      </w:tr>
      <w:tr>
        <w:trPr>
          <w:trHeight w:val="773"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40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5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244 559</w:t>
            </w:r>
          </w:p>
        </w:tc>
      </w:tr>
      <w:tr>
        <w:trPr>
          <w:trHeight w:val="152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41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Поликомпонентное лечение кардиомиопатий, миокардитов, перикардитов, эндокардитов с недостаточностью кровообращения II - IV функционального класса (МУНА),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5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145 306</w:t>
            </w:r>
          </w:p>
        </w:tc>
      </w:tr>
      <w:tr>
        <w:trPr>
          <w:trHeight w:val="10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42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5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242 081</w:t>
            </w:r>
          </w:p>
        </w:tc>
      </w:tr>
      <w:tr>
        <w:trPr>
          <w:trHeight w:val="773"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43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5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239 275</w:t>
            </w:r>
          </w:p>
        </w:tc>
      </w:tr>
      <w:tr>
        <w:trPr>
          <w:trHeight w:val="76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44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Поликомпонентное лечение врожденных аномалий (пороков развития) трахеи, бронхов, легкого с применением химиотерапевтических и генно- инженерных биологических лекарственных препаратов</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5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108 062</w:t>
            </w:r>
          </w:p>
        </w:tc>
      </w:tr>
      <w:tr>
        <w:trPr>
          <w:trHeight w:val="152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45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5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183 089</w:t>
            </w:r>
          </w:p>
        </w:tc>
      </w:tr>
      <w:tr>
        <w:trPr>
          <w:trHeight w:val="152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46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5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184 566</w:t>
            </w:r>
          </w:p>
        </w:tc>
      </w:tr>
      <w:tr>
        <w:trPr>
          <w:trHeight w:val="264"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Ревматология</w:t>
            </w:r>
          </w:p>
        </w:tc>
      </w:tr>
      <w:tr>
        <w:trPr>
          <w:trHeight w:val="269"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47</w:t>
            </w:r>
          </w:p>
        </w:tc>
        <w:tc>
          <w:tcPr>
            <w:tcBorders>
              <w:top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Поликомпонентная иммуномодулирующая терапия с включением генно-</w:t>
            </w:r>
          </w:p>
        </w:tc>
        <w:tc>
          <w:tcPr>
            <w:tcBorders>
              <w:top w:val="single" w:sz="4"/>
              <w:bottom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5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195 593</w:t>
            </w:r>
          </w:p>
        </w:tc>
      </w:tr>
    </w:tbl>
    <w:p>
      <w:pPr>
        <w:spacing w:lineRule="exact" w:line="1"/>
        <w:rPr>
          <w:sz w:val="2"/>
          <w:szCs w:val="2"/>
        </w:rPr>
      </w:pPr>
      <w:r>
        <w:br w:type="page"/>
      </w:r>
    </w:p>
    <w:tbl>
      <w:tblPr>
        <w:tblOverlap w:val="never"/>
        <w:jc w:val="center"/>
        <w:tblLayout w:type="fixed"/>
      </w:tblPr>
      <w:tblGrid>
        <w:gridCol w:w="912"/>
        <w:gridCol w:w="7565"/>
        <w:gridCol w:w="1752"/>
      </w:tblGrid>
      <w:tr>
        <w:trPr>
          <w:trHeight w:val="26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r>
      <w:tr>
        <w:trPr>
          <w:trHeight w:val="1781"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Borders>
              <w:top w:val="single" w:sz="4"/>
              <w:left w:val="single" w:sz="4"/>
              <w:right w:val="single" w:sz="4"/>
            </w:tcBorders>
            <w:shd w:val="clear" w:color="auto" w:fill="auto"/>
            <w:vAlign w:val="top"/>
          </w:tcPr>
          <w:p>
            <w:pPr>
              <w:widowControl w:val="0"/>
              <w:rPr>
                <w:sz w:val="10"/>
                <w:szCs w:val="10"/>
              </w:rPr>
            </w:pPr>
          </w:p>
        </w:tc>
      </w:tr>
      <w:tr>
        <w:trPr>
          <w:trHeight w:val="264"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Сердечно-сосудистая хирургия</w:t>
            </w:r>
          </w:p>
        </w:tc>
      </w:tr>
      <w:tr>
        <w:trPr>
          <w:trHeight w:val="10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48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272 632</w:t>
            </w:r>
          </w:p>
        </w:tc>
      </w:tr>
      <w:tr>
        <w:trPr>
          <w:trHeight w:val="10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49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301 635</w:t>
            </w:r>
          </w:p>
        </w:tc>
      </w:tr>
      <w:tr>
        <w:trPr>
          <w:trHeight w:val="10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50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345 346</w:t>
            </w:r>
          </w:p>
        </w:tc>
      </w:tr>
      <w:tr>
        <w:trPr>
          <w:trHeight w:val="5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51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Эндоваскулярная, хирургическая коррекция нарушений ритма сердца без имплантации кардиовертера-дефибриллятора у детей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359 839</w:t>
            </w:r>
          </w:p>
        </w:tc>
      </w:tr>
      <w:tr>
        <w:trPr>
          <w:trHeight w:val="5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52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Эндоваскулярная, хирургическая коррекция нарушений ритма сердца без имплантации кардиовертера-дефибриллятора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306 211</w:t>
            </w:r>
          </w:p>
        </w:tc>
      </w:tr>
      <w:tr>
        <w:trPr>
          <w:trHeight w:val="76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53</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550 891</w:t>
            </w:r>
          </w:p>
        </w:tc>
      </w:tr>
      <w:tr>
        <w:trPr>
          <w:trHeight w:val="76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54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8"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Коронарные ангиопластика или стентирование в сочетании с внутрисосудистой ротационной атерэктомией при ишемической болезни сердца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446 813</w:t>
            </w:r>
          </w:p>
        </w:tc>
      </w:tr>
      <w:tr>
        <w:trPr>
          <w:trHeight w:val="264"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55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Хирургическое лечение хронической сердечной недостаточности</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823 963</w:t>
            </w:r>
          </w:p>
        </w:tc>
      </w:tr>
      <w:tr>
        <w:trPr>
          <w:trHeight w:val="5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56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Хирургическая коррекция поражений клапанов сердца при повторном многоклапанном протезировании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950 788</w:t>
            </w:r>
          </w:p>
        </w:tc>
      </w:tr>
      <w:tr>
        <w:trPr>
          <w:trHeight w:val="5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57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Трансвенозная экстракция эндокардиальных электродов у пациентов с имплантируемыми устройствами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751 296</w:t>
            </w:r>
          </w:p>
        </w:tc>
      </w:tr>
      <w:tr>
        <w:trPr>
          <w:trHeight w:val="5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58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Гибридные операции при многоуровневом поражении магистральных артерий и артерий нижних конечностей у больных сахарным диабетом</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414 932</w:t>
            </w:r>
          </w:p>
        </w:tc>
      </w:tr>
      <w:tr>
        <w:trPr>
          <w:trHeight w:val="10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59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1 880 553</w:t>
            </w:r>
          </w:p>
        </w:tc>
      </w:tr>
      <w:tr>
        <w:trPr>
          <w:trHeight w:val="5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Мониторинг после имплантирования желудочковой вспомогательной системы длительного использования у взрослых</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1 775 447</w:t>
            </w:r>
          </w:p>
        </w:tc>
      </w:tr>
      <w:tr>
        <w:trPr>
          <w:trHeight w:val="5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Эндоваскулярная деструкция дополнительных проводящих путей и аритмогенных зон сердца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324 186</w:t>
            </w:r>
          </w:p>
        </w:tc>
      </w:tr>
      <w:tr>
        <w:trPr>
          <w:trHeight w:val="5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Эндоваскулярная, хирургическая коррекция нарушений ритма сердца без имплантации кардиовертера-дефибриллятора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559 748</w:t>
            </w:r>
          </w:p>
        </w:tc>
      </w:tr>
      <w:tr>
        <w:trPr>
          <w:trHeight w:val="5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Хирургическое лечение врожденных, ревматических и неревматических пороков клапанов сердца, опухолей сердца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581 616</w:t>
            </w:r>
          </w:p>
        </w:tc>
      </w:tr>
      <w:tr>
        <w:trPr>
          <w:trHeight w:val="5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Эндоваскулярная деструкция дополнительных проводящих путей и аритмогенных зон сердца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613 924</w:t>
            </w:r>
          </w:p>
        </w:tc>
      </w:tr>
      <w:tr>
        <w:trPr>
          <w:trHeight w:val="5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Эндоваскулярная, хирургическая коррекция нарушений ритма сердца с заменой ранее имплантированного кардиовертера-дефибриллятора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873 072</w:t>
            </w:r>
          </w:p>
        </w:tc>
      </w:tr>
      <w:tr>
        <w:trPr>
          <w:trHeight w:val="264"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Торакальная хирургия</w:t>
            </w:r>
          </w:p>
        </w:tc>
      </w:tr>
      <w:tr>
        <w:trPr>
          <w:trHeight w:val="269"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Эндоскопические и эндоваскулярные операции на органах грудной полости</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201 011</w:t>
            </w:r>
          </w:p>
        </w:tc>
      </w:tr>
      <w:tr>
        <w:trPr>
          <w:trHeight w:val="269" w:hRule="exact"/>
        </w:trPr>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Видеоторакоскопические операции на органах грудной полости</w:t>
            </w:r>
          </w:p>
        </w:tc>
        <w:tc>
          <w:tcPr>
            <w:vMerge/>
            <w:tcBorders>
              <w:left w:val="single" w:sz="4"/>
              <w:bottom w:val="single" w:sz="4"/>
              <w:right w:val="single" w:sz="4"/>
            </w:tcBorders>
            <w:shd w:val="clear" w:color="auto" w:fill="auto"/>
            <w:vAlign w:val="top"/>
          </w:tcPr>
          <w:p>
            <w:pPr/>
          </w:p>
        </w:tc>
      </w:tr>
    </w:tbl>
    <w:p>
      <w:pPr>
        <w:spacing w:lineRule="exact" w:line="1"/>
        <w:rPr>
          <w:sz w:val="2"/>
          <w:szCs w:val="2"/>
        </w:rPr>
      </w:pPr>
      <w:r>
        <w:br w:type="page"/>
      </w:r>
    </w:p>
    <w:tbl>
      <w:tblPr>
        <w:tblOverlap w:val="never"/>
        <w:jc w:val="center"/>
        <w:tblLayout w:type="fixed"/>
      </w:tblPr>
      <w:tblGrid>
        <w:gridCol w:w="912"/>
        <w:gridCol w:w="7565"/>
        <w:gridCol w:w="1752"/>
      </w:tblGrid>
      <w:tr>
        <w:trPr>
          <w:trHeight w:val="26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r>
      <w:tr>
        <w:trPr>
          <w:trHeight w:val="5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67</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Расширенные и реконструктивно-пластические операции на органах грудной полости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347 583</w:t>
            </w:r>
          </w:p>
        </w:tc>
      </w:tr>
      <w:tr>
        <w:trPr>
          <w:trHeight w:val="264"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Травматология и ортопедия</w:t>
            </w:r>
          </w:p>
        </w:tc>
      </w:tr>
      <w:tr>
        <w:trPr>
          <w:trHeight w:val="1277"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191 819</w:t>
            </w:r>
          </w:p>
        </w:tc>
      </w:tr>
      <w:tr>
        <w:trPr>
          <w:trHeight w:val="76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vMerge/>
            <w:tcBorders>
              <w:left w:val="single" w:sz="4"/>
              <w:right w:val="single" w:sz="4"/>
            </w:tcBorders>
            <w:shd w:val="clear" w:color="auto" w:fill="auto"/>
            <w:vAlign w:val="top"/>
          </w:tcPr>
          <w:p>
            <w:pPr/>
          </w:p>
        </w:tc>
      </w:tr>
      <w:tr>
        <w:trPr>
          <w:trHeight w:val="1277"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vMerge/>
            <w:tcBorders>
              <w:left w:val="single" w:sz="4"/>
              <w:right w:val="single" w:sz="4"/>
            </w:tcBorders>
            <w:shd w:val="clear" w:color="auto" w:fill="auto"/>
            <w:vAlign w:val="top"/>
          </w:tcPr>
          <w:p>
            <w:pPr/>
          </w:p>
        </w:tc>
      </w:tr>
      <w:tr>
        <w:trPr>
          <w:trHeight w:val="101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vMerge/>
            <w:tcBorders>
              <w:left w:val="single" w:sz="4"/>
              <w:right w:val="single" w:sz="4"/>
            </w:tcBorders>
            <w:shd w:val="clear" w:color="auto" w:fill="auto"/>
            <w:vAlign w:val="top"/>
          </w:tcPr>
          <w:p>
            <w:pPr/>
          </w:p>
        </w:tc>
      </w:tr>
      <w:tr>
        <w:trPr>
          <w:trHeight w:val="127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400 754</w:t>
            </w:r>
          </w:p>
        </w:tc>
      </w:tr>
      <w:tr>
        <w:trPr>
          <w:trHeight w:val="10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225 410</w:t>
            </w:r>
          </w:p>
        </w:tc>
      </w:tr>
      <w:tr>
        <w:trPr>
          <w:trHeight w:val="127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319011</w:t>
            </w:r>
          </w:p>
        </w:tc>
      </w:tr>
      <w:tr>
        <w:trPr>
          <w:trHeight w:val="10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Реконструктивные и корригирующие операции при сколиотических деформациях позвоночника 3-4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462 978</w:t>
            </w:r>
          </w:p>
        </w:tc>
      </w:tr>
      <w:tr>
        <w:trPr>
          <w:trHeight w:val="127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356 034</w:t>
            </w:r>
          </w:p>
        </w:tc>
      </w:tr>
      <w:tr>
        <w:trPr>
          <w:trHeight w:val="259"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Реэндопротезирование суставов конечностей</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501 786</w:t>
            </w:r>
          </w:p>
        </w:tc>
      </w:tr>
      <w:tr>
        <w:trPr>
          <w:trHeight w:val="518"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Реплантация конечностей и их сегментов с применением микрохирургической техники</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264 490</w:t>
            </w:r>
          </w:p>
        </w:tc>
      </w:tr>
      <w:tr>
        <w:trPr>
          <w:trHeight w:val="1277"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мягкотканых и костных хрящевых дефектов синтетическими и биологическими материалами</w:t>
            </w:r>
          </w:p>
        </w:tc>
        <w:tc>
          <w:tcPr>
            <w:vMerge/>
            <w:tcBorders>
              <w:left w:val="single" w:sz="4"/>
              <w:right w:val="single" w:sz="4"/>
            </w:tcBorders>
            <w:shd w:val="clear" w:color="auto" w:fill="auto"/>
            <w:vAlign w:val="top"/>
          </w:tcPr>
          <w:p>
            <w:pPr/>
          </w:p>
        </w:tc>
      </w:tr>
      <w:tr>
        <w:trPr>
          <w:trHeight w:val="1027" w:hRule="exact"/>
        </w:trPr>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vMerge/>
            <w:tcBorders>
              <w:left w:val="single" w:sz="4"/>
              <w:bottom w:val="single" w:sz="4"/>
              <w:right w:val="single" w:sz="4"/>
            </w:tcBorders>
            <w:shd w:val="clear" w:color="auto" w:fill="auto"/>
            <w:vAlign w:val="top"/>
          </w:tcPr>
          <w:p>
            <w:pPr/>
          </w:p>
        </w:tc>
      </w:tr>
    </w:tbl>
    <w:p>
      <w:pPr>
        <w:spacing w:lineRule="exact" w:line="1"/>
        <w:rPr>
          <w:sz w:val="2"/>
          <w:szCs w:val="2"/>
        </w:rPr>
      </w:pPr>
      <w:r>
        <w:br w:type="page"/>
      </w:r>
    </w:p>
    <w:tbl>
      <w:tblPr>
        <w:tblOverlap w:val="never"/>
        <w:jc w:val="center"/>
        <w:tblLayout w:type="fixed"/>
      </w:tblPr>
      <w:tblGrid>
        <w:gridCol w:w="912"/>
        <w:gridCol w:w="7565"/>
        <w:gridCol w:w="1752"/>
      </w:tblGrid>
      <w:tr>
        <w:trPr>
          <w:trHeight w:val="26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r>
      <w:tr>
        <w:trPr>
          <w:trHeight w:val="514"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Микрохирургическая пересадка комплексов тканей с восстановлением их кровоснабжения</w:t>
            </w:r>
          </w:p>
        </w:tc>
        <w:tc>
          <w:tcPr>
            <w:tcBorders>
              <w:top w:val="single" w:sz="4"/>
              <w:left w:val="single" w:sz="4"/>
              <w:right w:val="single" w:sz="4"/>
            </w:tcBorders>
            <w:shd w:val="clear" w:color="auto" w:fill="auto"/>
            <w:vAlign w:val="top"/>
          </w:tcPr>
          <w:p>
            <w:pPr>
              <w:widowControl w:val="0"/>
              <w:rPr>
                <w:sz w:val="10"/>
                <w:szCs w:val="10"/>
              </w:rPr>
            </w:pPr>
          </w:p>
        </w:tc>
      </w:tr>
      <w:tr>
        <w:trPr>
          <w:trHeight w:val="773"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202 426</w:t>
            </w:r>
          </w:p>
        </w:tc>
      </w:tr>
      <w:tr>
        <w:trPr>
          <w:trHeight w:val="259"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Т рансплантация</w:t>
            </w:r>
          </w:p>
        </w:tc>
      </w:tr>
      <w:tr>
        <w:trPr>
          <w:trHeight w:val="264"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77</w:t>
            </w:r>
          </w:p>
        </w:tc>
        <w:tc>
          <w:tcPr>
            <w:tcBorders>
              <w:top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Трансплантация почки</w:t>
            </w:r>
          </w:p>
        </w:tc>
        <w:tc>
          <w:tcPr>
            <w:tcBorders>
              <w:top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1 319 037</w:t>
            </w:r>
          </w:p>
        </w:tc>
      </w:tr>
      <w:tr>
        <w:trPr>
          <w:trHeight w:val="264"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Урология</w:t>
            </w:r>
          </w:p>
        </w:tc>
      </w:tr>
      <w:tr>
        <w:trPr>
          <w:trHeight w:val="1022"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137 230</w:t>
            </w:r>
          </w:p>
        </w:tc>
      </w:tr>
      <w:tr>
        <w:trPr>
          <w:trHeight w:val="514"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Оперативные вмешательства на органах мочеполовой системы с использованием лапароскопической техники</w:t>
            </w:r>
          </w:p>
        </w:tc>
        <w:tc>
          <w:tcPr>
            <w:vMerge/>
            <w:tcBorders>
              <w:left w:val="single" w:sz="4"/>
              <w:right w:val="single" w:sz="4"/>
            </w:tcBorders>
            <w:shd w:val="clear" w:color="auto" w:fill="auto"/>
            <w:vAlign w:val="top"/>
          </w:tcPr>
          <w:p>
            <w:pPr/>
          </w:p>
        </w:tc>
      </w:tr>
      <w:tr>
        <w:trPr>
          <w:trHeight w:val="264"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Рецидивные и особо сложные операции на органах мочеполовой системы</w:t>
            </w:r>
          </w:p>
        </w:tc>
        <w:tc>
          <w:tcPr>
            <w:vMerge/>
            <w:tcBorders>
              <w:left w:val="single" w:sz="4"/>
              <w:right w:val="single" w:sz="4"/>
            </w:tcBorders>
            <w:shd w:val="clear" w:color="auto" w:fill="auto"/>
            <w:vAlign w:val="top"/>
          </w:tcPr>
          <w:p>
            <w:pPr/>
          </w:p>
        </w:tc>
      </w:tr>
      <w:tr>
        <w:trPr>
          <w:trHeight w:val="5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Оперативные вмешательства на органах мочеполовой системы с имплантацией синтетических сложных и сетчатых протезов</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204 035</w:t>
            </w:r>
          </w:p>
        </w:tc>
      </w:tr>
      <w:tr>
        <w:trPr>
          <w:trHeight w:val="5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Оперативные вмешательства на органах мочеполовой системы с имплантацией синтетических сложных и сетчатых протезов</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132 612</w:t>
            </w:r>
          </w:p>
        </w:tc>
      </w:tr>
      <w:tr>
        <w:trPr>
          <w:trHeight w:val="259"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Хирургия</w:t>
            </w:r>
          </w:p>
        </w:tc>
      </w:tr>
      <w:tr>
        <w:trPr>
          <w:trHeight w:val="773"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Микрохирургические, расширенные, комбинированные и реконструктивно</w:t>
              <w:softHyphen/>
              <w:t>пластические операции на поджелудочной железе, в том числе лапароскопически ассистированные операции</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234 252</w:t>
            </w:r>
          </w:p>
        </w:tc>
      </w:tr>
      <w:tr>
        <w:trPr>
          <w:trHeight w:val="1022"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vMerge/>
            <w:tcBorders>
              <w:left w:val="single" w:sz="4"/>
              <w:right w:val="single" w:sz="4"/>
            </w:tcBorders>
            <w:shd w:val="clear" w:color="auto" w:fill="auto"/>
            <w:vAlign w:val="top"/>
          </w:tcPr>
          <w:p>
            <w:pPr/>
          </w:p>
        </w:tc>
      </w:tr>
      <w:tr>
        <w:trPr>
          <w:trHeight w:val="51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в том числе лапароскопически ассистированные операции на тонкой, толстой кишке и промежности</w:t>
            </w:r>
          </w:p>
        </w:tc>
        <w:tc>
          <w:tcPr>
            <w:vMerge/>
            <w:tcBorders>
              <w:left w:val="single" w:sz="4"/>
              <w:right w:val="single" w:sz="4"/>
            </w:tcBorders>
            <w:shd w:val="clear" w:color="auto" w:fill="auto"/>
            <w:vAlign w:val="top"/>
          </w:tcPr>
          <w:p>
            <w:pPr/>
          </w:p>
        </w:tc>
      </w:tr>
      <w:tr>
        <w:trPr>
          <w:trHeight w:val="5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30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Хирургическое лечение новообразований надпочечников и забрюшинного пространства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257 555</w:t>
            </w:r>
          </w:p>
        </w:tc>
      </w:tr>
      <w:tr>
        <w:trPr>
          <w:trHeight w:val="768"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Микрохирургические, расширенные, комбинированные и реконструктивно</w:t>
              <w:softHyphen/>
              <w:t>пластические операции на поджелудочной железе, в том числе лапароскопически ассистированные</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246 056</w:t>
            </w:r>
          </w:p>
        </w:tc>
      </w:tr>
      <w:tr>
        <w:trPr>
          <w:trHeight w:val="1022"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vMerge/>
            <w:tcBorders>
              <w:left w:val="single" w:sz="4"/>
              <w:right w:val="single" w:sz="4"/>
            </w:tcBorders>
            <w:shd w:val="clear" w:color="auto" w:fill="auto"/>
            <w:vAlign w:val="top"/>
          </w:tcPr>
          <w:p>
            <w:pPr/>
          </w:p>
        </w:tc>
      </w:tr>
      <w:tr>
        <w:trPr>
          <w:trHeight w:val="514"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в том числе лапароскопически ассистированные операции на прямой кишке и промежности</w:t>
            </w:r>
          </w:p>
        </w:tc>
        <w:tc>
          <w:tcPr>
            <w:vMerge/>
            <w:tcBorders>
              <w:left w:val="single" w:sz="4"/>
              <w:right w:val="single" w:sz="4"/>
            </w:tcBorders>
            <w:shd w:val="clear" w:color="auto" w:fill="auto"/>
            <w:vAlign w:val="top"/>
          </w:tcPr>
          <w:p>
            <w:pPr/>
          </w:p>
        </w:tc>
      </w:tr>
      <w:tr>
        <w:trPr>
          <w:trHeight w:val="264"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операции на пищеводе, желудке</w:t>
            </w:r>
          </w:p>
        </w:tc>
        <w:tc>
          <w:tcPr>
            <w:vMerge/>
            <w:tcBorders>
              <w:left w:val="single" w:sz="4"/>
              <w:right w:val="single" w:sz="4"/>
            </w:tcBorders>
            <w:shd w:val="clear" w:color="auto" w:fill="auto"/>
            <w:vAlign w:val="top"/>
          </w:tcPr>
          <w:p>
            <w:pPr/>
          </w:p>
        </w:tc>
      </w:tr>
      <w:tr>
        <w:trPr>
          <w:trHeight w:val="10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428 284</w:t>
            </w:r>
          </w:p>
        </w:tc>
      </w:tr>
      <w:tr>
        <w:trPr>
          <w:trHeight w:val="264"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Челюстно-лицевая хирургия</w:t>
            </w:r>
          </w:p>
        </w:tc>
      </w:tr>
      <w:tr>
        <w:trPr>
          <w:trHeight w:val="514"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операции при врожденных пороках развития черепно-челюстно-лицевой области</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180 355</w:t>
            </w:r>
          </w:p>
        </w:tc>
      </w:tr>
      <w:tr>
        <w:trPr>
          <w:trHeight w:val="773"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vMerge/>
            <w:tcBorders>
              <w:left w:val="single" w:sz="4"/>
              <w:right w:val="single" w:sz="4"/>
            </w:tcBorders>
            <w:shd w:val="clear" w:color="auto" w:fill="auto"/>
            <w:vAlign w:val="top"/>
          </w:tcPr>
          <w:p>
            <w:pPr/>
          </w:p>
        </w:tc>
      </w:tr>
      <w:tr>
        <w:trPr>
          <w:trHeight w:val="1277" w:hRule="exact"/>
        </w:trPr>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vMerge/>
            <w:tcBorders>
              <w:left w:val="single" w:sz="4"/>
              <w:bottom w:val="single" w:sz="4"/>
              <w:right w:val="single" w:sz="4"/>
            </w:tcBorders>
            <w:shd w:val="clear" w:color="auto" w:fill="auto"/>
            <w:vAlign w:val="top"/>
          </w:tcPr>
          <w:p>
            <w:pPr/>
          </w:p>
        </w:tc>
      </w:tr>
    </w:tbl>
    <w:p>
      <w:pPr>
        <w:spacing w:lineRule="exact" w:line="1"/>
        <w:rPr>
          <w:sz w:val="2"/>
          <w:szCs w:val="2"/>
        </w:rPr>
      </w:pPr>
      <w:r>
        <w:br w:type="page"/>
      </w:r>
    </w:p>
    <w:tbl>
      <w:tblPr>
        <w:tblOverlap w:val="never"/>
        <w:jc w:val="center"/>
        <w:tblLayout w:type="fixed"/>
      </w:tblPr>
      <w:tblGrid>
        <w:gridCol w:w="912"/>
        <w:gridCol w:w="7565"/>
        <w:gridCol w:w="1752"/>
      </w:tblGrid>
      <w:tr>
        <w:trPr>
          <w:trHeight w:val="26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r>
      <w:tr>
        <w:trPr>
          <w:trHeight w:val="1272"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Borders>
              <w:top w:val="single" w:sz="4"/>
              <w:left w:val="single" w:sz="4"/>
              <w:right w:val="single" w:sz="4"/>
            </w:tcBorders>
            <w:shd w:val="clear" w:color="auto" w:fill="auto"/>
            <w:vAlign w:val="top"/>
          </w:tcPr>
          <w:p>
            <w:pPr>
              <w:widowControl w:val="0"/>
              <w:rPr>
                <w:sz w:val="10"/>
                <w:szCs w:val="10"/>
              </w:rPr>
            </w:pPr>
          </w:p>
        </w:tc>
      </w:tr>
      <w:tr>
        <w:trPr>
          <w:trHeight w:val="264"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Эндокринология</w:t>
            </w:r>
          </w:p>
        </w:tc>
      </w:tr>
      <w:tr>
        <w:trPr>
          <w:trHeight w:val="10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86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260 031</w:t>
            </w:r>
          </w:p>
        </w:tc>
      </w:tr>
      <w:tr>
        <w:trPr>
          <w:trHeight w:val="264"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87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Комплексное лечение тяжелых форм АКТГ-синдрома</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149 947</w:t>
            </w:r>
          </w:p>
        </w:tc>
      </w:tr>
      <w:tr>
        <w:trPr>
          <w:trHeight w:val="523"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88</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8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Гастроинтестинальные комбинированные рестриктивно-шунтирующие операции, рестриктивная гастропластика: продольная резекция желудка</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377 004</w:t>
            </w:r>
          </w:p>
        </w:tc>
      </w:tr>
    </w:tbl>
    <w:p>
      <w:pPr>
        <w:widowControl w:val="0"/>
        <w:spacing w:after="319" w:line="1" w:lineRule="exact"/>
      </w:pPr>
    </w:p>
    <w:p>
      <w:pPr>
        <w:pStyle w:val="Style4"/>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ru-RU" w:eastAsia="ru-RU" w:bidi="ru-RU"/>
        </w:rPr>
        <w:t>Раздел 2. Перечень видов ВМП, финансовое обеспечение которых осуществляется</w:t>
        <w:br/>
        <w:t>за счет бюджетных ассигнований федерального бюджета в целях предоставления</w:t>
        <w:br/>
        <w:t>субсидий областному бюджету на софинансирование расходов,</w:t>
        <w:br/>
        <w:t>возникающих при оказании гражданам Российской Федерации</w:t>
        <w:br/>
        <w:t>ВМП, и бюджетных ассигнований областного бюджета</w:t>
      </w:r>
    </w:p>
    <w:tbl>
      <w:tblPr>
        <w:tblOverlap w:val="never"/>
        <w:jc w:val="center"/>
        <w:tblLayout w:type="fixed"/>
      </w:tblPr>
      <w:tblGrid>
        <w:gridCol w:w="912"/>
        <w:gridCol w:w="7565"/>
        <w:gridCol w:w="1752"/>
      </w:tblGrid>
      <w:tr>
        <w:trPr>
          <w:trHeight w:val="205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9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 группы ВМП</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Наименование вида ВМП</w:t>
            </w:r>
            <w:r>
              <w:rPr>
                <w:rFonts w:ascii="Arial" w:eastAsia="Arial" w:hAnsi="Arial" w:cs="Arial"/>
                <w:color w:val="000000"/>
                <w:spacing w:val="0"/>
                <w:w w:val="100"/>
                <w:position w:val="0"/>
                <w:sz w:val="18"/>
                <w:szCs w:val="18"/>
                <w:shd w:val="clear" w:color="auto" w:fill="auto"/>
                <w:vertAlign w:val="superscript"/>
                <w:lang w:val="ru-RU" w:eastAsia="ru-RU" w:bidi="ru-RU"/>
              </w:rPr>
              <w:t>1</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Норматив финансовых затрат на единицу объема предоставления медицинской помощи</w:t>
            </w:r>
            <w:r>
              <w:rPr>
                <w:rFonts w:ascii="Arial" w:eastAsia="Arial" w:hAnsi="Arial" w:cs="Arial"/>
                <w:color w:val="000000"/>
                <w:spacing w:val="0"/>
                <w:w w:val="100"/>
                <w:position w:val="0"/>
                <w:sz w:val="18"/>
                <w:szCs w:val="18"/>
                <w:shd w:val="clear" w:color="auto" w:fill="auto"/>
                <w:vertAlign w:val="superscript"/>
                <w:lang w:val="ru-RU" w:eastAsia="ru-RU" w:bidi="ru-RU"/>
              </w:rPr>
              <w:t>3</w:t>
            </w:r>
            <w:r>
              <w:rPr>
                <w:rFonts w:ascii="Arial" w:eastAsia="Arial" w:hAnsi="Arial" w:cs="Arial"/>
                <w:color w:val="000000"/>
                <w:spacing w:val="0"/>
                <w:w w:val="100"/>
                <w:position w:val="0"/>
                <w:sz w:val="18"/>
                <w:szCs w:val="18"/>
                <w:shd w:val="clear" w:color="auto" w:fill="auto"/>
                <w:lang w:val="ru-RU" w:eastAsia="ru-RU" w:bidi="ru-RU"/>
              </w:rPr>
              <w:t>, рублей</w:t>
            </w:r>
          </w:p>
        </w:tc>
      </w:tr>
      <w:tr>
        <w:trPr>
          <w:trHeight w:val="26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r>
      <w:tr>
        <w:trPr>
          <w:trHeight w:val="264"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Акушерство и гинекология</w:t>
            </w:r>
          </w:p>
        </w:tc>
      </w:tr>
      <w:tr>
        <w:trPr>
          <w:trHeight w:val="1531"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312 549</w:t>
            </w:r>
          </w:p>
        </w:tc>
      </w:tr>
      <w:tr>
        <w:trPr>
          <w:trHeight w:val="514"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Внутриутробное переливание крови плоду, баллонная тампонада трахеи и другие хирургические методы лечения</w:t>
            </w:r>
          </w:p>
        </w:tc>
        <w:tc>
          <w:tcPr>
            <w:vMerge/>
            <w:tcBorders>
              <w:left w:val="single" w:sz="4"/>
              <w:right w:val="single" w:sz="4"/>
            </w:tcBorders>
            <w:shd w:val="clear" w:color="auto" w:fill="auto"/>
            <w:vAlign w:val="top"/>
          </w:tcPr>
          <w:p>
            <w:pPr/>
          </w:p>
        </w:tc>
      </w:tr>
      <w:tr>
        <w:trPr>
          <w:trHeight w:val="1272"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vMerge/>
            <w:tcBorders>
              <w:left w:val="single" w:sz="4"/>
              <w:right w:val="single" w:sz="4"/>
            </w:tcBorders>
            <w:shd w:val="clear" w:color="auto" w:fill="auto"/>
            <w:vAlign w:val="top"/>
          </w:tcPr>
          <w:p>
            <w:pPr/>
          </w:p>
        </w:tc>
      </w:tr>
      <w:tr>
        <w:trPr>
          <w:trHeight w:val="1027"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Комплексное лечение при задержке полового созревания у женщин, подтвержденной молекулярно- и иммуногенетическими методами, включающее гормональные, иммунологические, физические и малоинвазивные хирургические методы лечения</w:t>
            </w:r>
          </w:p>
        </w:tc>
        <w:tc>
          <w:tcPr>
            <w:vMerge/>
            <w:tcBorders>
              <w:left w:val="single" w:sz="4"/>
              <w:right w:val="single" w:sz="4"/>
            </w:tcBorders>
            <w:shd w:val="clear" w:color="auto" w:fill="auto"/>
            <w:vAlign w:val="top"/>
          </w:tcPr>
          <w:p>
            <w:pPr/>
          </w:p>
        </w:tc>
      </w:tr>
      <w:tr>
        <w:trPr>
          <w:trHeight w:val="178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 резонансной томографии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241 592</w:t>
            </w:r>
          </w:p>
        </w:tc>
      </w:tr>
      <w:tr>
        <w:trPr>
          <w:trHeight w:val="264"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Хирургическое лечение распространенного эндометриоза, пороков развития</w:t>
            </w:r>
          </w:p>
        </w:tc>
        <w:tc>
          <w:tcPr>
            <w:tcBorders>
              <w:top w:val="single" w:sz="4"/>
              <w:left w:val="single" w:sz="4"/>
              <w:bottom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378 710</w:t>
            </w:r>
          </w:p>
        </w:tc>
      </w:tr>
    </w:tbl>
    <w:p>
      <w:pPr>
        <w:spacing w:lineRule="exact" w:line="1"/>
        <w:rPr>
          <w:sz w:val="2"/>
          <w:szCs w:val="2"/>
        </w:rPr>
      </w:pPr>
      <w:r>
        <w:br w:type="page"/>
      </w:r>
    </w:p>
    <w:tbl>
      <w:tblPr>
        <w:tblOverlap w:val="never"/>
        <w:jc w:val="center"/>
        <w:tblLayout w:type="fixed"/>
      </w:tblPr>
      <w:tblGrid>
        <w:gridCol w:w="912"/>
        <w:gridCol w:w="7565"/>
        <w:gridCol w:w="1752"/>
      </w:tblGrid>
      <w:tr>
        <w:trPr>
          <w:trHeight w:val="26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r>
      <w:tr>
        <w:trPr>
          <w:trHeight w:val="514"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и опухолей гениталий, пролапса гениталий у женщин с использованием робототехники</w:t>
            </w:r>
          </w:p>
        </w:tc>
        <w:tc>
          <w:tcPr>
            <w:tcBorders>
              <w:top w:val="single" w:sz="4"/>
              <w:left w:val="single" w:sz="4"/>
              <w:right w:val="single" w:sz="4"/>
            </w:tcBorders>
            <w:shd w:val="clear" w:color="auto" w:fill="auto"/>
            <w:vAlign w:val="top"/>
          </w:tcPr>
          <w:p>
            <w:pPr>
              <w:widowControl w:val="0"/>
              <w:rPr>
                <w:sz w:val="10"/>
                <w:szCs w:val="10"/>
              </w:rPr>
            </w:pPr>
          </w:p>
        </w:tc>
      </w:tr>
      <w:tr>
        <w:trPr>
          <w:trHeight w:val="264"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Г ематология</w:t>
            </w:r>
          </w:p>
        </w:tc>
      </w:tr>
      <w:tr>
        <w:trPr>
          <w:trHeight w:val="178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гистиоцитозе у детей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455 257</w:t>
            </w:r>
          </w:p>
        </w:tc>
      </w:tr>
      <w:tr>
        <w:trPr>
          <w:trHeight w:val="76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болезнью Гоше</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773 639</w:t>
            </w:r>
          </w:p>
        </w:tc>
      </w:tr>
      <w:tr>
        <w:trPr>
          <w:trHeight w:val="264"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Программная комбинированная терапия апластической анемии</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2 928 455</w:t>
            </w:r>
          </w:p>
        </w:tc>
      </w:tr>
      <w:tr>
        <w:trPr>
          <w:trHeight w:val="178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Комплексное лечение и реконструктивно-восстановительные операции при деформациях и повреждениях конечностей, при поражении забрюшинного пространства, органов грудной и брюшной полостей, сопровождающееся продолжительной высокодозной терапией факторами свертывания крови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4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3 748 168</w:t>
            </w:r>
          </w:p>
        </w:tc>
      </w:tr>
      <w:tr>
        <w:trPr>
          <w:trHeight w:val="76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Терапия острой (хронической) реакции «трансплантат против хозяина» у пациентов после трансплантации аллогенных гемопоэтических стволовых клеток в условиях круглосуточного стационара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4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1 354 915</w:t>
            </w:r>
          </w:p>
        </w:tc>
      </w:tr>
      <w:tr>
        <w:trPr>
          <w:trHeight w:val="264"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Дерматовенерология</w:t>
            </w:r>
          </w:p>
        </w:tc>
      </w:tr>
      <w:tr>
        <w:trPr>
          <w:trHeight w:val="5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Комплексное лечение ранних стадий грибовидного микоза, включая бальнеофотохимиотерапию и иммуносупрессивную терапию</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218 298</w:t>
            </w:r>
          </w:p>
        </w:tc>
      </w:tr>
      <w:tr>
        <w:trPr>
          <w:trHeight w:val="264"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Детская хирургия в период новорожденности</w:t>
            </w:r>
          </w:p>
        </w:tc>
      </w:tr>
      <w:tr>
        <w:trPr>
          <w:trHeight w:val="518"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операции на тонкой и толстой кишке у новорожденных, в том числе лапароскопические</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507 575</w:t>
            </w:r>
          </w:p>
        </w:tc>
      </w:tr>
      <w:tr>
        <w:trPr>
          <w:trHeight w:val="514"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Хирургическое лечение диафрагмальной грыжи, гастрошизиса и омфалоцеле у новорожденных, в том числе торако- и лапароскопическое</w:t>
            </w:r>
          </w:p>
        </w:tc>
        <w:tc>
          <w:tcPr>
            <w:vMerge/>
            <w:tcBorders>
              <w:left w:val="single" w:sz="4"/>
              <w:right w:val="single" w:sz="4"/>
            </w:tcBorders>
            <w:shd w:val="clear" w:color="auto" w:fill="auto"/>
            <w:vAlign w:val="top"/>
          </w:tcPr>
          <w:p>
            <w:pPr/>
          </w:p>
        </w:tc>
      </w:tr>
      <w:tr>
        <w:trPr>
          <w:trHeight w:val="76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8"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vMerge/>
            <w:tcBorders>
              <w:left w:val="single" w:sz="4"/>
              <w:right w:val="single" w:sz="4"/>
            </w:tcBorders>
            <w:shd w:val="clear" w:color="auto" w:fill="auto"/>
            <w:vAlign w:val="top"/>
          </w:tcPr>
          <w:p>
            <w:pPr/>
          </w:p>
        </w:tc>
      </w:tr>
      <w:tr>
        <w:trPr>
          <w:trHeight w:val="51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операции на почках, мочеточниках и мочевом пузыре у новорожденных, в том числе лапароскопические</w:t>
            </w:r>
          </w:p>
        </w:tc>
        <w:tc>
          <w:tcPr>
            <w:vMerge/>
            <w:tcBorders>
              <w:left w:val="single" w:sz="4"/>
              <w:right w:val="single" w:sz="4"/>
            </w:tcBorders>
            <w:shd w:val="clear" w:color="auto" w:fill="auto"/>
            <w:vAlign w:val="top"/>
          </w:tcPr>
          <w:p>
            <w:pPr/>
          </w:p>
        </w:tc>
      </w:tr>
      <w:tr>
        <w:trPr>
          <w:trHeight w:val="264"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Комбустиология</w:t>
            </w:r>
          </w:p>
        </w:tc>
      </w:tr>
      <w:tr>
        <w:trPr>
          <w:trHeight w:val="5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Хирургическое лечение послеожоговых рубцов и рубцовых деформаций, требующих этапных реконструктивно-пластических операций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174 984</w:t>
            </w:r>
          </w:p>
        </w:tc>
      </w:tr>
      <w:tr>
        <w:trPr>
          <w:trHeight w:val="264"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Неврология (нейрореабилитация)</w:t>
            </w:r>
          </w:p>
        </w:tc>
      </w:tr>
      <w:tr>
        <w:trPr>
          <w:trHeight w:val="5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Нейрореабилитация после перенесенного инсульта и черепно-мозговой травмы при нарушении двигательных и когнитивных функций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362 095</w:t>
            </w:r>
          </w:p>
        </w:tc>
      </w:tr>
      <w:tr>
        <w:trPr>
          <w:trHeight w:val="269"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Неврология</w:t>
            </w:r>
          </w:p>
        </w:tc>
      </w:tr>
      <w:tr>
        <w:trPr>
          <w:trHeight w:val="5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Установка интенсивной помпы для постоянной инфузии геля после предварительной назоеюнальной титрации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543 105</w:t>
            </w:r>
          </w:p>
        </w:tc>
      </w:tr>
      <w:tr>
        <w:trPr>
          <w:trHeight w:val="259"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Нейрохирургия</w:t>
            </w:r>
          </w:p>
        </w:tc>
      </w:tr>
      <w:tr>
        <w:trPr>
          <w:trHeight w:val="1027"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419 599</w:t>
            </w:r>
          </w:p>
        </w:tc>
      </w:tr>
      <w:tr>
        <w:trPr>
          <w:trHeight w:val="101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vMerge/>
            <w:tcBorders>
              <w:left w:val="single" w:sz="4"/>
              <w:right w:val="single" w:sz="4"/>
            </w:tcBorders>
            <w:shd w:val="clear" w:color="auto" w:fill="auto"/>
            <w:vAlign w:val="top"/>
          </w:tcPr>
          <w:p>
            <w:pPr/>
          </w:p>
        </w:tc>
      </w:tr>
      <w:tr>
        <w:trPr>
          <w:trHeight w:val="269" w:hRule="exact"/>
        </w:trPr>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Микрохирургические, эндоскопические и стереотаксические вмешательства</w:t>
            </w:r>
          </w:p>
        </w:tc>
        <w:tc>
          <w:tcPr>
            <w:vMerge/>
            <w:tcBorders>
              <w:left w:val="single" w:sz="4"/>
              <w:bottom w:val="single" w:sz="4"/>
              <w:right w:val="single" w:sz="4"/>
            </w:tcBorders>
            <w:shd w:val="clear" w:color="auto" w:fill="auto"/>
            <w:vAlign w:val="top"/>
          </w:tcPr>
          <w:p>
            <w:pPr/>
          </w:p>
        </w:tc>
      </w:tr>
    </w:tbl>
    <w:p>
      <w:pPr>
        <w:sectPr>
          <w:headerReference w:type="default" r:id="rId25"/>
          <w:footnotePr>
            <w:pos w:val="pageBottom"/>
            <w:numFmt w:val="decimal"/>
            <w:numRestart w:val="continuous"/>
          </w:footnotePr>
          <w:pgSz w:w="11900" w:h="16840"/>
          <w:pgMar w:top="1129" w:right="767" w:bottom="865" w:left="851" w:header="0" w:footer="437" w:gutter="0"/>
          <w:pgNumType w:start="2"/>
          <w:cols w:space="720"/>
          <w:noEndnote/>
          <w:rtlGutter w:val="0"/>
          <w:docGrid w:linePitch="360"/>
        </w:sectPr>
      </w:pPr>
    </w:p>
    <w:tbl>
      <w:tblPr>
        <w:tblOverlap w:val="never"/>
        <w:jc w:val="center"/>
        <w:tblLayout w:type="fixed"/>
      </w:tblPr>
      <w:tblGrid>
        <w:gridCol w:w="912"/>
        <w:gridCol w:w="7565"/>
        <w:gridCol w:w="1752"/>
      </w:tblGrid>
      <w:tr>
        <w:trPr>
          <w:trHeight w:val="26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r>
      <w:tr>
        <w:trPr>
          <w:trHeight w:val="1526" w:hRule="exact"/>
        </w:trPr>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tabs>
                <w:tab w:pos="2088" w:val="left"/>
                <w:tab w:pos="3922" w:val="left"/>
                <w:tab w:pos="5112" w:val="left"/>
                <w:tab w:pos="7229" w:val="left"/>
              </w:tabs>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w:t>
              <w:tab/>
              <w:t>церебральных</w:t>
              <w:tab/>
              <w:t>кистах,</w:t>
              <w:tab/>
              <w:t>злокачественных</w:t>
              <w:tab/>
              <w:t>и</w:t>
            </w:r>
          </w:p>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доброкачественных новообразованиях шишковидной железы (в том числе кистозных), туберозном склерозе, гамартозе</w:t>
            </w:r>
          </w:p>
        </w:tc>
        <w:tc>
          <w:tcPr>
            <w:vMerge w:val="restart"/>
            <w:tcBorders>
              <w:top w:val="single" w:sz="4"/>
              <w:left w:val="single" w:sz="4"/>
              <w:right w:val="single" w:sz="4"/>
            </w:tcBorders>
            <w:shd w:val="clear" w:color="auto" w:fill="auto"/>
            <w:vAlign w:val="top"/>
          </w:tcPr>
          <w:p>
            <w:pPr>
              <w:widowControl w:val="0"/>
              <w:rPr>
                <w:sz w:val="10"/>
                <w:szCs w:val="10"/>
              </w:rPr>
            </w:pPr>
          </w:p>
        </w:tc>
      </w:tr>
      <w:tr>
        <w:trPr>
          <w:trHeight w:val="1022"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vMerge/>
            <w:tcBorders>
              <w:left w:val="single" w:sz="4"/>
              <w:right w:val="single" w:sz="4"/>
            </w:tcBorders>
            <w:shd w:val="clear" w:color="auto" w:fill="auto"/>
            <w:vAlign w:val="top"/>
          </w:tcPr>
          <w:p>
            <w:pPr/>
          </w:p>
        </w:tc>
      </w:tr>
      <w:tr>
        <w:trPr>
          <w:trHeight w:val="1272"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vMerge/>
            <w:tcBorders>
              <w:left w:val="single" w:sz="4"/>
              <w:right w:val="single" w:sz="4"/>
            </w:tcBorders>
            <w:shd w:val="clear" w:color="auto" w:fill="auto"/>
            <w:vAlign w:val="top"/>
          </w:tcPr>
          <w:p>
            <w:pPr/>
          </w:p>
        </w:tc>
      </w:tr>
      <w:tr>
        <w:trPr>
          <w:trHeight w:val="76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vMerge/>
            <w:tcBorders>
              <w:left w:val="single" w:sz="4"/>
              <w:right w:val="single" w:sz="4"/>
            </w:tcBorders>
            <w:shd w:val="clear" w:color="auto" w:fill="auto"/>
            <w:vAlign w:val="top"/>
          </w:tcPr>
          <w:p>
            <w:pPr/>
          </w:p>
        </w:tc>
      </w:tr>
      <w:tr>
        <w:trPr>
          <w:trHeight w:val="1282"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vMerge/>
            <w:tcBorders>
              <w:left w:val="single" w:sz="4"/>
              <w:right w:val="single" w:sz="4"/>
            </w:tcBorders>
            <w:shd w:val="clear" w:color="auto" w:fill="auto"/>
            <w:vAlign w:val="top"/>
          </w:tcPr>
          <w:p>
            <w:pPr/>
          </w:p>
        </w:tc>
      </w:tr>
      <w:tr>
        <w:trPr>
          <w:trHeight w:val="259"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Микрохирургическая васкулярная декомпрессия корешков черепных нервов</w:t>
            </w:r>
          </w:p>
        </w:tc>
        <w:tc>
          <w:tcPr>
            <w:vMerge/>
            <w:tcBorders>
              <w:left w:val="single" w:sz="4"/>
              <w:right w:val="single" w:sz="4"/>
            </w:tcBorders>
            <w:shd w:val="clear" w:color="auto" w:fill="auto"/>
            <w:vAlign w:val="top"/>
          </w:tcPr>
          <w:p>
            <w:pPr/>
          </w:p>
        </w:tc>
      </w:tr>
      <w:tr>
        <w:trPr>
          <w:trHeight w:val="1277"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559 107</w:t>
            </w:r>
          </w:p>
        </w:tc>
      </w:tr>
      <w:tr>
        <w:trPr>
          <w:trHeight w:val="1277"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vMerge/>
            <w:tcBorders>
              <w:left w:val="single" w:sz="4"/>
              <w:right w:val="single" w:sz="4"/>
            </w:tcBorders>
            <w:shd w:val="clear" w:color="auto" w:fill="auto"/>
            <w:vAlign w:val="top"/>
          </w:tcPr>
          <w:p>
            <w:pPr/>
          </w:p>
        </w:tc>
      </w:tr>
      <w:tr>
        <w:trPr>
          <w:trHeight w:val="1018"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308 079</w:t>
            </w:r>
          </w:p>
        </w:tc>
      </w:tr>
      <w:tr>
        <w:trPr>
          <w:trHeight w:val="1022"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vMerge/>
            <w:tcBorders>
              <w:left w:val="single" w:sz="4"/>
              <w:right w:val="single" w:sz="4"/>
            </w:tcBorders>
            <w:shd w:val="clear" w:color="auto" w:fill="auto"/>
            <w:vAlign w:val="top"/>
          </w:tcPr>
          <w:p>
            <w:pPr/>
          </w:p>
        </w:tc>
      </w:tr>
      <w:tr>
        <w:trPr>
          <w:trHeight w:val="76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vMerge/>
            <w:tcBorders>
              <w:left w:val="single" w:sz="4"/>
              <w:right w:val="single" w:sz="4"/>
            </w:tcBorders>
            <w:shd w:val="clear" w:color="auto" w:fill="auto"/>
            <w:vAlign w:val="top"/>
          </w:tcPr>
          <w:p>
            <w:pPr/>
          </w:p>
        </w:tc>
      </w:tr>
      <w:tr>
        <w:trPr>
          <w:trHeight w:val="10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468 812</w:t>
            </w:r>
          </w:p>
        </w:tc>
      </w:tr>
      <w:tr>
        <w:trPr>
          <w:trHeight w:val="10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1 427 203</w:t>
            </w:r>
          </w:p>
        </w:tc>
      </w:tr>
      <w:tr>
        <w:trPr>
          <w:trHeight w:val="1032"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19</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для нейростимуляции головного и спинного мозга, периферических нервов</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1 941 ПО</w:t>
            </w:r>
          </w:p>
        </w:tc>
      </w:tr>
    </w:tbl>
    <w:p>
      <w:pPr>
        <w:sectPr>
          <w:headerReference w:type="default" r:id="rId26"/>
          <w:footnotePr>
            <w:pos w:val="pageBottom"/>
            <w:numFmt w:val="decimal"/>
            <w:numRestart w:val="continuous"/>
          </w:footnotePr>
          <w:pgSz w:w="11900" w:h="16840"/>
          <w:pgMar w:top="1129" w:right="767" w:bottom="865" w:left="851" w:header="701" w:footer="437" w:gutter="0"/>
          <w:pgNumType w:start="164"/>
          <w:cols w:space="720"/>
          <w:noEndnote/>
          <w:rtlGutter w:val="0"/>
          <w:docGrid w:linePitch="360"/>
        </w:sectPr>
      </w:pPr>
    </w:p>
    <w:tbl>
      <w:tblPr>
        <w:tblOverlap w:val="never"/>
        <w:jc w:val="center"/>
        <w:tblLayout w:type="fixed"/>
      </w:tblPr>
      <w:tblGrid>
        <w:gridCol w:w="912"/>
        <w:gridCol w:w="7565"/>
        <w:gridCol w:w="1752"/>
      </w:tblGrid>
      <w:tr>
        <w:trPr>
          <w:trHeight w:val="26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r>
      <w:tr>
        <w:trPr>
          <w:trHeight w:val="264"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Протонная лучевая терапия, в том числе детям</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2 456 692</w:t>
            </w:r>
          </w:p>
        </w:tc>
      </w:tr>
      <w:tr>
        <w:trPr>
          <w:trHeight w:val="763"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4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2 539 420</w:t>
            </w:r>
          </w:p>
        </w:tc>
      </w:tr>
      <w:tr>
        <w:trPr>
          <w:trHeight w:val="269"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Онкология</w:t>
            </w:r>
          </w:p>
        </w:tc>
      </w:tr>
      <w:tr>
        <w:trPr>
          <w:trHeight w:val="10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390 355</w:t>
            </w:r>
          </w:p>
        </w:tc>
      </w:tr>
      <w:tr>
        <w:trPr>
          <w:trHeight w:val="10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23</w:t>
            </w:r>
          </w:p>
        </w:tc>
        <w:tc>
          <w:tcPr>
            <w:tcBorders>
              <w:top w:val="single" w:sz="4"/>
              <w:left w:val="single" w:sz="4"/>
            </w:tcBorders>
            <w:shd w:val="clear" w:color="auto" w:fill="auto"/>
            <w:vAlign w:val="bottom"/>
          </w:tcPr>
          <w:p>
            <w:pPr>
              <w:pStyle w:val="Style23"/>
              <w:keepNext w:val="0"/>
              <w:keepLines w:val="0"/>
              <w:widowControl w:val="0"/>
              <w:shd w:val="clear" w:color="auto" w:fill="auto"/>
              <w:tabs>
                <w:tab w:pos="3672" w:val="left"/>
                <w:tab w:pos="6365" w:val="left"/>
              </w:tabs>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w:t>
              <w:tab/>
              <w:t>микрохирургические,</w:t>
              <w:tab/>
              <w:t>обширные</w:t>
            </w:r>
          </w:p>
          <w:p>
            <w:pPr>
              <w:pStyle w:val="Style23"/>
              <w:keepNext w:val="0"/>
              <w:keepLines w:val="0"/>
              <w:widowControl w:val="0"/>
              <w:shd w:val="clear" w:color="auto" w:fill="auto"/>
              <w:tabs>
                <w:tab w:pos="2347" w:val="left"/>
                <w:tab w:pos="5942" w:val="left"/>
              </w:tabs>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циторедуктивные,</w:t>
              <w:tab/>
              <w:t>расширенно-комбинированные</w:t>
              <w:tab/>
              <w:t>хирургические</w:t>
            </w:r>
          </w:p>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вмешательства, в том числе с применением физических факторов при злокачественных новообразованиях</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429 237</w:t>
            </w:r>
          </w:p>
        </w:tc>
      </w:tr>
      <w:tr>
        <w:trPr>
          <w:trHeight w:val="10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24</w:t>
            </w:r>
          </w:p>
        </w:tc>
        <w:tc>
          <w:tcPr>
            <w:tcBorders>
              <w:top w:val="single" w:sz="4"/>
              <w:left w:val="single" w:sz="4"/>
            </w:tcBorders>
            <w:shd w:val="clear" w:color="auto" w:fill="auto"/>
            <w:vAlign w:val="bottom"/>
          </w:tcPr>
          <w:p>
            <w:pPr>
              <w:pStyle w:val="Style23"/>
              <w:keepNext w:val="0"/>
              <w:keepLines w:val="0"/>
              <w:widowControl w:val="0"/>
              <w:shd w:val="clear" w:color="auto" w:fill="auto"/>
              <w:tabs>
                <w:tab w:pos="1498" w:val="left"/>
                <w:tab w:pos="3422" w:val="left"/>
                <w:tab w:pos="5347" w:val="left"/>
                <w:tab w:pos="5981" w:val="left"/>
              </w:tabs>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Комбинированное лечение злокачественных новообразований, сочетающее обширные</w:t>
              <w:tab/>
              <w:t>хирургические</w:t>
              <w:tab/>
              <w:t>вмешательства</w:t>
              <w:tab/>
              <w:t>и</w:t>
              <w:tab/>
              <w:t>лекарственное</w:t>
            </w:r>
          </w:p>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противоопухолевое лечение, требующее интенсивной поддерживающей и корригирующей терапии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512 746</w:t>
            </w:r>
          </w:p>
        </w:tc>
      </w:tr>
      <w:tr>
        <w:trPr>
          <w:trHeight w:val="152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423 917</w:t>
            </w:r>
          </w:p>
        </w:tc>
      </w:tr>
      <w:tr>
        <w:trPr>
          <w:trHeight w:val="153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АЬ-амилоидоза, полицитемии у взрослых</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550 213</w:t>
            </w:r>
          </w:p>
        </w:tc>
      </w:tr>
      <w:tr>
        <w:trPr>
          <w:trHeight w:val="518"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Внутритканевая, внутриполостная, аппликационная лучевая терапия в радиотерапевтических отделениях. Интраоперационная лучевая терапия</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322 603</w:t>
            </w:r>
          </w:p>
        </w:tc>
      </w:tr>
      <w:tr>
        <w:trPr>
          <w:trHeight w:val="514"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Стереотаксическая лучевая терапия при злокачественных и доброкачественных новообразованиях</w:t>
            </w:r>
          </w:p>
        </w:tc>
        <w:tc>
          <w:tcPr>
            <w:vMerge/>
            <w:tcBorders>
              <w:left w:val="single" w:sz="4"/>
              <w:right w:val="single" w:sz="4"/>
            </w:tcBorders>
            <w:shd w:val="clear" w:color="auto" w:fill="auto"/>
            <w:vAlign w:val="top"/>
          </w:tcPr>
          <w:p>
            <w:pPr/>
          </w:p>
        </w:tc>
      </w:tr>
      <w:tr>
        <w:trPr>
          <w:trHeight w:val="259"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Радионуклидная лучевая терапия в радиотерапевтических отделениях</w:t>
            </w:r>
          </w:p>
        </w:tc>
        <w:tc>
          <w:tcPr>
            <w:vMerge/>
            <w:tcBorders>
              <w:left w:val="single" w:sz="4"/>
              <w:right w:val="single" w:sz="4"/>
            </w:tcBorders>
            <w:shd w:val="clear" w:color="auto" w:fill="auto"/>
            <w:vAlign w:val="top"/>
          </w:tcPr>
          <w:p>
            <w:pPr/>
          </w:p>
        </w:tc>
      </w:tr>
      <w:tr>
        <w:trPr>
          <w:trHeight w:val="269"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Контактная лучевая терапия при раке предстательной железы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604 749</w:t>
            </w:r>
          </w:p>
        </w:tc>
      </w:tr>
      <w:tr>
        <w:trPr>
          <w:trHeight w:val="178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450 716</w:t>
            </w:r>
          </w:p>
        </w:tc>
      </w:tr>
      <w:tr>
        <w:trPr>
          <w:trHeight w:val="10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30</w:t>
            </w:r>
          </w:p>
        </w:tc>
        <w:tc>
          <w:tcPr>
            <w:tcBorders>
              <w:top w:val="single" w:sz="4"/>
              <w:left w:val="single" w:sz="4"/>
            </w:tcBorders>
            <w:shd w:val="clear" w:color="auto" w:fill="auto"/>
            <w:vAlign w:val="bottom"/>
          </w:tcPr>
          <w:p>
            <w:pPr>
              <w:pStyle w:val="Style23"/>
              <w:keepNext w:val="0"/>
              <w:keepLines w:val="0"/>
              <w:widowControl w:val="0"/>
              <w:shd w:val="clear" w:color="auto" w:fill="auto"/>
              <w:tabs>
                <w:tab w:pos="1488" w:val="left"/>
                <w:tab w:pos="2770" w:val="left"/>
                <w:tab w:pos="4282" w:val="left"/>
                <w:tab w:pos="7224" w:val="left"/>
              </w:tabs>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Комплексная и высокодозная химиотерапия (включая эпигенетическую терапию)</w:t>
              <w:tab/>
              <w:t>острых</w:t>
              <w:tab/>
              <w:t>лейкозов,</w:t>
              <w:tab/>
              <w:t>лимфопролиферативных</w:t>
              <w:tab/>
              <w:t>и</w:t>
            </w:r>
          </w:p>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миелопролиферативных заболеваний, в том числе рецидивов и рефрактерных форм у взрослых</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613 799</w:t>
            </w:r>
          </w:p>
        </w:tc>
      </w:tr>
      <w:tr>
        <w:trPr>
          <w:trHeight w:val="10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31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4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2 538 220</w:t>
            </w:r>
          </w:p>
        </w:tc>
      </w:tr>
      <w:tr>
        <w:trPr>
          <w:trHeight w:val="76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32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4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1 358 587</w:t>
            </w:r>
          </w:p>
        </w:tc>
      </w:tr>
      <w:tr>
        <w:trPr>
          <w:trHeight w:val="5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33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Хирургическое лечение злокачественных новообразований, в том числе у детей, с использованием робототехники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5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402 001</w:t>
            </w:r>
          </w:p>
        </w:tc>
      </w:tr>
      <w:tr>
        <w:trPr>
          <w:trHeight w:val="269"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34</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Протонная лучевая терапия, в том числе детям</w:t>
            </w:r>
          </w:p>
        </w:tc>
        <w:tc>
          <w:tcPr>
            <w:tcBorders>
              <w:top w:val="single" w:sz="4"/>
              <w:left w:val="single" w:sz="4"/>
              <w:bottom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2 244 899</w:t>
            </w:r>
          </w:p>
        </w:tc>
      </w:tr>
    </w:tbl>
    <w:p>
      <w:pPr>
        <w:spacing w:lineRule="exact" w:line="1"/>
        <w:rPr>
          <w:sz w:val="2"/>
          <w:szCs w:val="2"/>
        </w:rPr>
      </w:pPr>
      <w:r>
        <w:br w:type="page"/>
      </w:r>
    </w:p>
    <w:tbl>
      <w:tblPr>
        <w:tblOverlap w:val="never"/>
        <w:jc w:val="center"/>
        <w:tblLayout w:type="fixed"/>
      </w:tblPr>
      <w:tblGrid>
        <w:gridCol w:w="912"/>
        <w:gridCol w:w="7565"/>
        <w:gridCol w:w="1752"/>
      </w:tblGrid>
      <w:tr>
        <w:trPr>
          <w:trHeight w:val="26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r>
      <w:tr>
        <w:trPr>
          <w:trHeight w:val="264"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35.1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Иммунотерапия острых лейкозов у взрослых</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4 173 995</w:t>
            </w:r>
          </w:p>
        </w:tc>
      </w:tr>
      <w:tr>
        <w:trPr>
          <w:trHeight w:val="264"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35.2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Терапия острых лейкозов у взрослых</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2 528 683</w:t>
            </w:r>
          </w:p>
        </w:tc>
      </w:tr>
      <w:tr>
        <w:trPr>
          <w:trHeight w:val="259"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35.3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Терапия нефолликулярных лимфом у взрослых</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932 409</w:t>
            </w:r>
          </w:p>
        </w:tc>
      </w:tr>
      <w:tr>
        <w:trPr>
          <w:trHeight w:val="264"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35.4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Терапия множественной миеломы у взрослых</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1 204 031</w:t>
            </w:r>
          </w:p>
        </w:tc>
      </w:tr>
      <w:tr>
        <w:trPr>
          <w:trHeight w:val="259"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36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Нехимиотерапевтическое биологическое лечение острых лейкозов</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1 718 614</w:t>
            </w:r>
          </w:p>
        </w:tc>
      </w:tr>
      <w:tr>
        <w:trPr>
          <w:trHeight w:val="5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37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Лечение острого лейкоза с использованием биотехнологических методов у детей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4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3 535 582</w:t>
            </w:r>
          </w:p>
        </w:tc>
      </w:tr>
      <w:tr>
        <w:trPr>
          <w:trHeight w:val="5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38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Тотальное облучение тела, тотальное лимфоидное облучение тела, тотальное облучение костного мозга у детей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518 129</w:t>
            </w:r>
          </w:p>
        </w:tc>
      </w:tr>
      <w:tr>
        <w:trPr>
          <w:trHeight w:val="76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39</w:t>
            </w:r>
          </w:p>
        </w:tc>
        <w:tc>
          <w:tcPr>
            <w:tcBorders>
              <w:top w:val="single" w:sz="4"/>
              <w:left w:val="single" w:sz="4"/>
            </w:tcBorders>
            <w:shd w:val="clear" w:color="auto" w:fill="auto"/>
            <w:vAlign w:val="bottom"/>
          </w:tcPr>
          <w:p>
            <w:pPr>
              <w:pStyle w:val="Style23"/>
              <w:keepNext w:val="0"/>
              <w:keepLines w:val="0"/>
              <w:widowControl w:val="0"/>
              <w:shd w:val="clear" w:color="auto" w:fill="auto"/>
              <w:tabs>
                <w:tab w:pos="2131" w:val="left"/>
                <w:tab w:pos="4378" w:val="left"/>
                <w:tab w:pos="5990" w:val="left"/>
                <w:tab w:pos="7243" w:val="left"/>
              </w:tabs>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Сопроводительная терапия и лечение осложнений у детей после трансплантации</w:t>
              <w:tab/>
              <w:t>гемопоэтических</w:t>
              <w:tab/>
              <w:t>стволовых</w:t>
              <w:tab/>
              <w:t>клеток</w:t>
              <w:tab/>
              <w:t>в</w:t>
            </w:r>
          </w:p>
          <w:p>
            <w:pPr>
              <w:pStyle w:val="Style23"/>
              <w:keepNext w:val="0"/>
              <w:keepLines w:val="0"/>
              <w:widowControl w:val="0"/>
              <w:shd w:val="clear" w:color="auto" w:fill="auto"/>
              <w:bidi w:val="0"/>
              <w:spacing w:before="0" w:after="0" w:line="295"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посттрансплантационном периоде</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4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3 054 161</w:t>
            </w:r>
          </w:p>
        </w:tc>
      </w:tr>
      <w:tr>
        <w:trPr>
          <w:trHeight w:val="5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40</w:t>
            </w:r>
          </w:p>
        </w:tc>
        <w:tc>
          <w:tcPr>
            <w:tcBorders>
              <w:top w:val="single" w:sz="4"/>
              <w:left w:val="single" w:sz="4"/>
            </w:tcBorders>
            <w:shd w:val="clear" w:color="auto" w:fill="auto"/>
            <w:vAlign w:val="bottom"/>
          </w:tcPr>
          <w:p>
            <w:pPr>
              <w:pStyle w:val="Style23"/>
              <w:keepNext w:val="0"/>
              <w:keepLines w:val="0"/>
              <w:widowControl w:val="0"/>
              <w:shd w:val="clear" w:color="auto" w:fill="auto"/>
              <w:tabs>
                <w:tab w:pos="1536" w:val="left"/>
                <w:tab w:pos="3610" w:val="left"/>
                <w:tab w:pos="4882" w:val="left"/>
              </w:tabs>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Системная</w:t>
              <w:tab/>
              <w:t>радионуклидная</w:t>
              <w:tab/>
              <w:t>терапия</w:t>
              <w:tab/>
              <w:t>радиофармацевтическими</w:t>
            </w:r>
          </w:p>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лекарственными препаратами, мечеными 177Ьи и 225Ас</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542 869</w:t>
            </w:r>
          </w:p>
        </w:tc>
      </w:tr>
      <w:tr>
        <w:trPr>
          <w:trHeight w:val="259"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41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Трансартериальная радиоэмболизация</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913 986</w:t>
            </w:r>
          </w:p>
        </w:tc>
      </w:tr>
      <w:tr>
        <w:trPr>
          <w:trHeight w:val="5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42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Инновационная интенсивная сопроводительная терапия у детей со злокачественными новообразованиями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4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1 989 184</w:t>
            </w:r>
          </w:p>
        </w:tc>
      </w:tr>
      <w:tr>
        <w:trPr>
          <w:trHeight w:val="5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43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Инновационная химиолучевая терапия у детей с солидными злокачественными новообразованиями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954 260</w:t>
            </w:r>
          </w:p>
        </w:tc>
      </w:tr>
      <w:tr>
        <w:trPr>
          <w:trHeight w:val="264"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Оториноларингология</w:t>
            </w:r>
          </w:p>
        </w:tc>
      </w:tr>
      <w:tr>
        <w:trPr>
          <w:trHeight w:val="259"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44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Реконструктивные операции на звукопроводящем аппарате среднего уха</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175 648</w:t>
            </w:r>
          </w:p>
        </w:tc>
      </w:tr>
      <w:tr>
        <w:trPr>
          <w:trHeight w:val="51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Хирургическое лечение болезни Меньера и других нарушений вестибулярной функции</w:t>
            </w:r>
          </w:p>
        </w:tc>
        <w:tc>
          <w:tcPr>
            <w:vMerge/>
            <w:tcBorders>
              <w:left w:val="single" w:sz="4"/>
              <w:right w:val="single" w:sz="4"/>
            </w:tcBorders>
            <w:shd w:val="clear" w:color="auto" w:fill="auto"/>
            <w:vAlign w:val="top"/>
          </w:tcPr>
          <w:p>
            <w:pPr/>
          </w:p>
        </w:tc>
      </w:tr>
      <w:tr>
        <w:trPr>
          <w:trHeight w:val="76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vMerge/>
            <w:tcBorders>
              <w:left w:val="single" w:sz="4"/>
              <w:right w:val="single" w:sz="4"/>
            </w:tcBorders>
            <w:shd w:val="clear" w:color="auto" w:fill="auto"/>
            <w:vAlign w:val="top"/>
          </w:tcPr>
          <w:p>
            <w:pPr/>
          </w:p>
        </w:tc>
      </w:tr>
      <w:tr>
        <w:trPr>
          <w:trHeight w:val="264"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Реконструктивно-пластическое восстановление функции гортани и трахеи</w:t>
            </w:r>
          </w:p>
        </w:tc>
        <w:tc>
          <w:tcPr>
            <w:vMerge/>
            <w:tcBorders>
              <w:left w:val="single" w:sz="4"/>
              <w:right w:val="single" w:sz="4"/>
            </w:tcBorders>
            <w:shd w:val="clear" w:color="auto" w:fill="auto"/>
            <w:vAlign w:val="top"/>
          </w:tcPr>
          <w:p>
            <w:pPr/>
          </w:p>
        </w:tc>
      </w:tr>
      <w:tr>
        <w:trPr>
          <w:trHeight w:val="5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45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Хирургическое лечение сенсоневральной тугоухости высокой степени и глухоты</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4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1 827 219</w:t>
            </w:r>
          </w:p>
        </w:tc>
      </w:tr>
      <w:tr>
        <w:trPr>
          <w:trHeight w:val="5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46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Хирургическое одномоментное лечение двусторонней нейросенсорной тугоухости высокой степени и глухоты</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4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2 761 461</w:t>
            </w:r>
          </w:p>
        </w:tc>
      </w:tr>
      <w:tr>
        <w:trPr>
          <w:trHeight w:val="264"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Офтальмология</w:t>
            </w:r>
          </w:p>
        </w:tc>
      </w:tr>
      <w:tr>
        <w:trPr>
          <w:trHeight w:val="514"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47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Хирургическое лечение глаукомы, включая имплантацию различных видов шунтов у взрослых и детей</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5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137 080</w:t>
            </w:r>
          </w:p>
        </w:tc>
      </w:tr>
      <w:tr>
        <w:trPr>
          <w:trHeight w:val="1027"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w:t>
              <w:softHyphen/>
              <w:t>пластическая хирургия при их последствиях</w:t>
            </w:r>
          </w:p>
        </w:tc>
        <w:tc>
          <w:tcPr>
            <w:vMerge/>
            <w:tcBorders>
              <w:left w:val="single" w:sz="4"/>
              <w:right w:val="single" w:sz="4"/>
            </w:tcBorders>
            <w:shd w:val="clear" w:color="auto" w:fill="auto"/>
            <w:vAlign w:val="top"/>
          </w:tcPr>
          <w:p>
            <w:pPr/>
          </w:p>
        </w:tc>
      </w:tr>
      <w:tr>
        <w:trPr>
          <w:trHeight w:val="10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48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w:t>
              <w:softHyphen/>
              <w:t>пластическая хирургия при их последствиях</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193 153</w:t>
            </w:r>
          </w:p>
        </w:tc>
      </w:tr>
      <w:tr>
        <w:trPr>
          <w:trHeight w:val="518"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49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и оптико-реконструктивные операции при травмах (открытых, закрытых) глаза, его придаточного аппарата, орбиты</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5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167 900</w:t>
            </w:r>
          </w:p>
        </w:tc>
      </w:tr>
      <w:tr>
        <w:trPr>
          <w:trHeight w:val="76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Комплексное лечение болезней роговицы, включая оптико</w:t>
              <w:softHyphen/>
              <w:t>реконструктивную и лазерную хирургию, интенсивное консервативное лечение язвы роговицы</w:t>
            </w:r>
          </w:p>
        </w:tc>
        <w:tc>
          <w:tcPr>
            <w:vMerge/>
            <w:tcBorders>
              <w:left w:val="single" w:sz="4"/>
              <w:right w:val="single" w:sz="4"/>
            </w:tcBorders>
            <w:shd w:val="clear" w:color="auto" w:fill="auto"/>
            <w:vAlign w:val="top"/>
          </w:tcPr>
          <w:p>
            <w:pPr/>
          </w:p>
        </w:tc>
      </w:tr>
      <w:tr>
        <w:trPr>
          <w:trHeight w:val="76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vMerge/>
            <w:tcBorders>
              <w:left w:val="single" w:sz="4"/>
              <w:right w:val="single" w:sz="4"/>
            </w:tcBorders>
            <w:shd w:val="clear" w:color="auto" w:fill="auto"/>
            <w:vAlign w:val="top"/>
          </w:tcPr>
          <w:p>
            <w:pPr/>
          </w:p>
        </w:tc>
      </w:tr>
      <w:tr>
        <w:trPr>
          <w:trHeight w:val="773"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50</w:t>
            </w:r>
          </w:p>
        </w:tc>
        <w:tc>
          <w:tcPr>
            <w:tcBorders>
              <w:top w:val="single" w:sz="4"/>
              <w:left w:val="single" w:sz="4"/>
            </w:tcBorders>
            <w:shd w:val="clear" w:color="auto" w:fill="auto"/>
            <w:vAlign w:val="bottom"/>
          </w:tcPr>
          <w:p>
            <w:pPr>
              <w:pStyle w:val="Style23"/>
              <w:keepNext w:val="0"/>
              <w:keepLines w:val="0"/>
              <w:widowControl w:val="0"/>
              <w:shd w:val="clear" w:color="auto" w:fill="auto"/>
              <w:tabs>
                <w:tab w:pos="2386" w:val="left"/>
                <w:tab w:pos="4603" w:val="left"/>
                <w:tab w:pos="6610" w:val="left"/>
              </w:tabs>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Транспупиллярная,</w:t>
              <w:tab/>
              <w:t>микроинвазивная</w:t>
              <w:tab/>
              <w:t>энергетическая</w:t>
              <w:tab/>
              <w:t>оптико</w:t>
              <w:softHyphen/>
            </w:r>
          </w:p>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реконструктивная, эндовитреальная 23 - 27 гейджевая хирургия при витреоретинальной патологии различного генеза</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233 873</w:t>
            </w:r>
          </w:p>
        </w:tc>
      </w:tr>
      <w:tr>
        <w:trPr>
          <w:trHeight w:val="773" w:hRule="exact"/>
        </w:trPr>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w:t>
            </w:r>
          </w:p>
        </w:tc>
        <w:tc>
          <w:tcPr>
            <w:vMerge/>
            <w:tcBorders>
              <w:left w:val="single" w:sz="4"/>
              <w:bottom w:val="single" w:sz="4"/>
              <w:right w:val="single" w:sz="4"/>
            </w:tcBorders>
            <w:shd w:val="clear" w:color="auto" w:fill="auto"/>
            <w:vAlign w:val="top"/>
          </w:tcPr>
          <w:p>
            <w:pPr/>
          </w:p>
        </w:tc>
      </w:tr>
    </w:tbl>
    <w:p>
      <w:pPr>
        <w:spacing w:lineRule="exact" w:line="1"/>
        <w:rPr>
          <w:sz w:val="2"/>
          <w:szCs w:val="2"/>
        </w:rPr>
      </w:pPr>
      <w:r>
        <w:br w:type="page"/>
      </w:r>
    </w:p>
    <w:tbl>
      <w:tblPr>
        <w:tblOverlap w:val="never"/>
        <w:jc w:val="center"/>
        <w:tblLayout w:type="fixed"/>
      </w:tblPr>
      <w:tblGrid>
        <w:gridCol w:w="912"/>
        <w:gridCol w:w="7565"/>
        <w:gridCol w:w="1752"/>
      </w:tblGrid>
      <w:tr>
        <w:trPr>
          <w:trHeight w:val="26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r>
      <w:tr>
        <w:trPr>
          <w:trHeight w:val="514"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глаза, хрусталика, в том числе с применением комплексного офтальмологического обследования под общей анестезией</w:t>
            </w:r>
          </w:p>
        </w:tc>
        <w:tc>
          <w:tcPr>
            <w:tcBorders>
              <w:top w:val="single" w:sz="4"/>
              <w:left w:val="single" w:sz="4"/>
              <w:right w:val="single" w:sz="4"/>
            </w:tcBorders>
            <w:shd w:val="clear" w:color="auto" w:fill="auto"/>
            <w:vAlign w:val="top"/>
          </w:tcPr>
          <w:p>
            <w:pPr>
              <w:widowControl w:val="0"/>
              <w:rPr>
                <w:sz w:val="10"/>
                <w:szCs w:val="10"/>
              </w:rPr>
            </w:pPr>
          </w:p>
        </w:tc>
      </w:tr>
      <w:tr>
        <w:trPr>
          <w:trHeight w:val="773"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263 529</w:t>
            </w:r>
          </w:p>
        </w:tc>
      </w:tr>
      <w:tr>
        <w:trPr>
          <w:trHeight w:val="259"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Педиатрия</w:t>
            </w:r>
          </w:p>
        </w:tc>
      </w:tr>
      <w:tr>
        <w:trPr>
          <w:trHeight w:val="773"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Комбинированное лечение тяжелых форм преждевременного полового развития (II - V степень по Ргабег), включая оперативное лечение, блокаду гормональных рецепторов, супрессивную терапию в пульсовом режиме</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152 741</w:t>
            </w:r>
          </w:p>
        </w:tc>
      </w:tr>
      <w:tr>
        <w:trPr>
          <w:trHeight w:val="76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vMerge/>
            <w:tcBorders>
              <w:left w:val="single" w:sz="4"/>
              <w:right w:val="single" w:sz="4"/>
            </w:tcBorders>
            <w:shd w:val="clear" w:color="auto" w:fill="auto"/>
            <w:vAlign w:val="top"/>
          </w:tcPr>
          <w:p>
            <w:pPr/>
          </w:p>
        </w:tc>
      </w:tr>
      <w:tr>
        <w:trPr>
          <w:trHeight w:val="1526"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229 012</w:t>
            </w:r>
          </w:p>
        </w:tc>
      </w:tr>
      <w:tr>
        <w:trPr>
          <w:trHeight w:val="76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vMerge/>
            <w:tcBorders>
              <w:left w:val="single" w:sz="4"/>
              <w:right w:val="single" w:sz="4"/>
            </w:tcBorders>
            <w:shd w:val="clear" w:color="auto" w:fill="auto"/>
            <w:vAlign w:val="top"/>
          </w:tcPr>
          <w:p>
            <w:pPr/>
          </w:p>
        </w:tc>
      </w:tr>
      <w:tr>
        <w:trPr>
          <w:trHeight w:val="1022"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vMerge/>
            <w:tcBorders>
              <w:left w:val="single" w:sz="4"/>
              <w:right w:val="single" w:sz="4"/>
            </w:tcBorders>
            <w:shd w:val="clear" w:color="auto" w:fill="auto"/>
            <w:vAlign w:val="top"/>
          </w:tcPr>
          <w:p>
            <w:pPr/>
          </w:p>
        </w:tc>
      </w:tr>
      <w:tr>
        <w:trPr>
          <w:trHeight w:val="1781"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tabs>
                <w:tab w:pos="1013" w:val="left"/>
                <w:tab w:pos="2467" w:val="left"/>
                <w:tab w:pos="3835" w:val="left"/>
                <w:tab w:pos="5501" w:val="left"/>
                <w:tab w:pos="7224" w:val="left"/>
              </w:tabs>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w:t>
              <w:tab/>
              <w:t>(методами</w:t>
              <w:tab/>
              <w:t>световой,</w:t>
              <w:tab/>
              <w:t>электронной</w:t>
              <w:tab/>
              <w:t>микроскопии</w:t>
              <w:tab/>
              <w:t>и</w:t>
            </w:r>
          </w:p>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иммунофлюоресценции) и дополнительным молекулярно-генетическим исследованием</w:t>
            </w:r>
          </w:p>
        </w:tc>
        <w:tc>
          <w:tcPr>
            <w:vMerge/>
            <w:tcBorders>
              <w:left w:val="single" w:sz="4"/>
              <w:right w:val="single" w:sz="4"/>
            </w:tcBorders>
            <w:shd w:val="clear" w:color="auto" w:fill="auto"/>
            <w:vAlign w:val="top"/>
          </w:tcPr>
          <w:p>
            <w:pPr/>
          </w:p>
        </w:tc>
      </w:tr>
      <w:tr>
        <w:trPr>
          <w:trHeight w:val="153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305 084</w:t>
            </w:r>
          </w:p>
        </w:tc>
      </w:tr>
      <w:tr>
        <w:trPr>
          <w:trHeight w:val="5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Лечение сахарного диабета у детей с использованием систем непрерывного введения инсулина с гибридной обратной связью</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675 414</w:t>
            </w:r>
          </w:p>
        </w:tc>
      </w:tr>
      <w:tr>
        <w:trPr>
          <w:trHeight w:val="76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Поликомпонентное лечение юношеского ревматоидного артрита с инициацией и (или) заменой генно-инженерных биологических лекарственных препаратов или селективных иммунодепрессантов</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421 448</w:t>
            </w:r>
          </w:p>
        </w:tc>
      </w:tr>
      <w:tr>
        <w:trPr>
          <w:trHeight w:val="1272"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 инженерных биологических лекарственных препаратов и (или) селективных иммунодепрессантов</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748 378</w:t>
            </w:r>
          </w:p>
        </w:tc>
      </w:tr>
      <w:tr>
        <w:trPr>
          <w:trHeight w:val="1781"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tabs>
                <w:tab w:pos="672" w:val="left"/>
                <w:tab w:pos="2371" w:val="left"/>
                <w:tab w:pos="3715" w:val="left"/>
                <w:tab w:pos="5021" w:val="left"/>
                <w:tab w:pos="6446" w:val="left"/>
              </w:tabs>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Поликомпонентное лечение юношеского артрита с системным началом, криопирин-ассоциированного периодического синдрома, семейной средиземноморской лихорадки, периодического синдрома, ассоциированного с</w:t>
              <w:tab/>
              <w:t>рецептором</w:t>
              <w:tab/>
              <w:t>фактора</w:t>
              <w:tab/>
              <w:t>некроза</w:t>
              <w:tab/>
              <w:t>опухоли,</w:t>
              <w:tab/>
              <w:t>синдрома</w:t>
            </w:r>
          </w:p>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гипериммуноглобулинемии В с инициацией или заменой генно-инженерных биологических лекарственных препаратов и (или) селективных иммунодепрессантов</w:t>
            </w:r>
          </w:p>
        </w:tc>
        <w:tc>
          <w:tcPr>
            <w:vMerge/>
            <w:tcBorders>
              <w:left w:val="single" w:sz="4"/>
              <w:right w:val="single" w:sz="4"/>
            </w:tcBorders>
            <w:shd w:val="clear" w:color="auto" w:fill="auto"/>
            <w:vAlign w:val="top"/>
          </w:tcPr>
          <w:p>
            <w:pPr/>
          </w:p>
        </w:tc>
      </w:tr>
      <w:tr>
        <w:trPr>
          <w:trHeight w:val="523" w:hRule="exact"/>
        </w:trPr>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Поликомпонентное лечение узелкового полиартериита и родственных состояний, других некротизирующих васкулопатий, других системных</w:t>
            </w:r>
          </w:p>
        </w:tc>
        <w:tc>
          <w:tcPr>
            <w:vMerge/>
            <w:tcBorders>
              <w:left w:val="single" w:sz="4"/>
              <w:bottom w:val="single" w:sz="4"/>
              <w:right w:val="single" w:sz="4"/>
            </w:tcBorders>
            <w:shd w:val="clear" w:color="auto" w:fill="auto"/>
            <w:vAlign w:val="top"/>
          </w:tcPr>
          <w:p>
            <w:pPr/>
          </w:p>
        </w:tc>
      </w:tr>
    </w:tbl>
    <w:p>
      <w:pPr>
        <w:spacing w:lineRule="exact" w:line="1"/>
        <w:rPr>
          <w:sz w:val="2"/>
          <w:szCs w:val="2"/>
        </w:rPr>
      </w:pPr>
      <w:r>
        <w:br w:type="page"/>
      </w:r>
    </w:p>
    <w:tbl>
      <w:tblPr>
        <w:tblOverlap w:val="never"/>
        <w:jc w:val="center"/>
        <w:tblLayout w:type="fixed"/>
      </w:tblPr>
      <w:tblGrid>
        <w:gridCol w:w="912"/>
        <w:gridCol w:w="7565"/>
        <w:gridCol w:w="1752"/>
      </w:tblGrid>
      <w:tr>
        <w:trPr>
          <w:trHeight w:val="26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r>
      <w:tr>
        <w:trPr>
          <w:trHeight w:val="768" w:hRule="exact"/>
        </w:trPr>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поражений соединительной ткани с инициацией или заменой генно- инженерных биологических лекарственных препаратов и (или) селективных иммунодепрессантов</w:t>
            </w:r>
          </w:p>
        </w:tc>
        <w:tc>
          <w:tcPr>
            <w:vMerge w:val="restart"/>
            <w:tcBorders>
              <w:top w:val="single" w:sz="4"/>
              <w:left w:val="single" w:sz="4"/>
              <w:right w:val="single" w:sz="4"/>
            </w:tcBorders>
            <w:shd w:val="clear" w:color="auto" w:fill="auto"/>
            <w:vAlign w:val="top"/>
          </w:tcPr>
          <w:p>
            <w:pPr>
              <w:widowControl w:val="0"/>
              <w:rPr>
                <w:sz w:val="10"/>
                <w:szCs w:val="10"/>
              </w:rPr>
            </w:pPr>
          </w:p>
        </w:tc>
      </w:tr>
      <w:tr>
        <w:trPr>
          <w:trHeight w:val="76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Поликомпонентное лечение системного склероза с инициацией или заменой генно-инженерных биологических лекарственных препаратов и (или) селективных иммунодепрессантов</w:t>
            </w:r>
          </w:p>
        </w:tc>
        <w:tc>
          <w:tcPr>
            <w:vMerge/>
            <w:tcBorders>
              <w:left w:val="single" w:sz="4"/>
              <w:right w:val="single" w:sz="4"/>
            </w:tcBorders>
            <w:shd w:val="clear" w:color="auto" w:fill="auto"/>
            <w:vAlign w:val="top"/>
          </w:tcPr>
          <w:p>
            <w:pPr/>
          </w:p>
        </w:tc>
      </w:tr>
      <w:tr>
        <w:trPr>
          <w:trHeight w:val="76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58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Поликомпонентное лечение дерматополимиозита с инициацией или заменой генно-инженерных биологических лекарственных препаратов и (или) селективных иммунодепрессантов</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1 051 309</w:t>
            </w:r>
          </w:p>
        </w:tc>
      </w:tr>
      <w:tr>
        <w:trPr>
          <w:trHeight w:val="5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59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Поликомпонентное лечение вторичного гемофагоцитарного синдрома (гемофагоцитарного лимфогистиоцитоза)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1 402 698</w:t>
            </w:r>
          </w:p>
        </w:tc>
      </w:tr>
      <w:tr>
        <w:trPr>
          <w:trHeight w:val="264"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Сердечно-сосудистая хирургия</w:t>
            </w:r>
          </w:p>
        </w:tc>
      </w:tr>
      <w:tr>
        <w:trPr>
          <w:trHeight w:val="76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519 537</w:t>
            </w:r>
          </w:p>
        </w:tc>
      </w:tr>
      <w:tr>
        <w:trPr>
          <w:trHeight w:val="514"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Хирургическая и эндоваскулярная коррекция заболеваний магистральных артерий</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472 495</w:t>
            </w:r>
          </w:p>
        </w:tc>
      </w:tr>
      <w:tr>
        <w:trPr>
          <w:trHeight w:val="51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Радикальная и гемодинамическая коррекция врожденных пороков перегородок, камер сердца и соединений магистральных сосудов</w:t>
            </w:r>
          </w:p>
        </w:tc>
        <w:tc>
          <w:tcPr>
            <w:vMerge/>
            <w:tcBorders>
              <w:left w:val="single" w:sz="4"/>
              <w:right w:val="single" w:sz="4"/>
            </w:tcBorders>
            <w:shd w:val="clear" w:color="auto" w:fill="auto"/>
            <w:vAlign w:val="top"/>
          </w:tcPr>
          <w:p>
            <w:pPr/>
          </w:p>
        </w:tc>
      </w:tr>
      <w:tr>
        <w:trPr>
          <w:trHeight w:val="5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Эндоваскулярное лечение врожденных, ревматических и неревматических пороков клапанов сердца, опухолей сердца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2 085 174</w:t>
            </w:r>
          </w:p>
        </w:tc>
      </w:tr>
      <w:tr>
        <w:trPr>
          <w:trHeight w:val="5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Эндоваскулярная, хирургическая коррекция нарушений ритма сердца с имплантацией кардиовертера-дефибриллятора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1 340 230</w:t>
            </w:r>
          </w:p>
        </w:tc>
      </w:tr>
      <w:tr>
        <w:trPr>
          <w:trHeight w:val="76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628 001</w:t>
            </w:r>
          </w:p>
        </w:tc>
      </w:tr>
      <w:tr>
        <w:trPr>
          <w:trHeight w:val="264"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Эндоваскулярная коррекция заболеваний аорты и магистральных артерий</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1 468 623</w:t>
            </w:r>
          </w:p>
        </w:tc>
      </w:tr>
      <w:tr>
        <w:trPr>
          <w:trHeight w:val="264"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Транслюминальная баллонная ангиопластика легочных артерий</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430 328</w:t>
            </w:r>
          </w:p>
        </w:tc>
      </w:tr>
      <w:tr>
        <w:trPr>
          <w:trHeight w:val="264"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Модуляция сердечной сократимости</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2 176 344</w:t>
            </w:r>
          </w:p>
        </w:tc>
      </w:tr>
      <w:tr>
        <w:trPr>
          <w:trHeight w:val="259"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Эндоваскулярная окклюзия ушка левого предсердия</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488 049</w:t>
            </w:r>
          </w:p>
        </w:tc>
      </w:tr>
      <w:tr>
        <w:trPr>
          <w:trHeight w:val="264"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Хирургическое лечение хронической сердечной недостаточности у детей</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12 349 792</w:t>
            </w:r>
          </w:p>
        </w:tc>
      </w:tr>
      <w:tr>
        <w:trPr>
          <w:trHeight w:val="5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Экстракардиальная (подкожная) система первичной и вторичной профилактики внезапной сердечной смерти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2 738 560</w:t>
            </w:r>
          </w:p>
        </w:tc>
      </w:tr>
      <w:tr>
        <w:trPr>
          <w:trHeight w:val="10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 устройств для атерэктомии и внутрисосудистого ультразвукового исследования</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950 186</w:t>
            </w:r>
          </w:p>
        </w:tc>
      </w:tr>
      <w:tr>
        <w:trPr>
          <w:trHeight w:val="259"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Ультразвуковой транскатетерный направленный локальный тромболизис</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845 767</w:t>
            </w:r>
          </w:p>
        </w:tc>
      </w:tr>
      <w:tr>
        <w:trPr>
          <w:trHeight w:val="264"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Торакальная хирургия</w:t>
            </w:r>
          </w:p>
        </w:tc>
      </w:tr>
      <w:tr>
        <w:trPr>
          <w:trHeight w:val="264"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операции на грудной стенке и диафрагме</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271 723</w:t>
            </w:r>
          </w:p>
        </w:tc>
      </w:tr>
      <w:tr>
        <w:trPr>
          <w:trHeight w:val="259"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Эндоскопические и эндоваскулярные операции на органах грудной полости</w:t>
            </w:r>
          </w:p>
        </w:tc>
        <w:tc>
          <w:tcPr>
            <w:vMerge/>
            <w:tcBorders>
              <w:left w:val="single" w:sz="4"/>
              <w:right w:val="single" w:sz="4"/>
            </w:tcBorders>
            <w:shd w:val="clear" w:color="auto" w:fill="auto"/>
            <w:vAlign w:val="top"/>
          </w:tcPr>
          <w:p>
            <w:pPr/>
          </w:p>
        </w:tc>
      </w:tr>
      <w:tr>
        <w:trPr>
          <w:trHeight w:val="264"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Видеоторакоскопические операции на органах грудной полости</w:t>
            </w:r>
          </w:p>
        </w:tc>
        <w:tc>
          <w:tcPr>
            <w:vMerge/>
            <w:tcBorders>
              <w:left w:val="single" w:sz="4"/>
              <w:right w:val="single" w:sz="4"/>
            </w:tcBorders>
            <w:shd w:val="clear" w:color="auto" w:fill="auto"/>
            <w:vAlign w:val="top"/>
          </w:tcPr>
          <w:p>
            <w:pPr/>
          </w:p>
        </w:tc>
      </w:tr>
      <w:tr>
        <w:trPr>
          <w:trHeight w:val="51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Расширенные и реконструктивно-пластические операции на органах грудной полости</w:t>
            </w:r>
          </w:p>
        </w:tc>
        <w:tc>
          <w:tcPr>
            <w:vMerge/>
            <w:tcBorders>
              <w:left w:val="single" w:sz="4"/>
              <w:right w:val="single" w:sz="4"/>
            </w:tcBorders>
            <w:shd w:val="clear" w:color="auto" w:fill="auto"/>
            <w:vAlign w:val="top"/>
          </w:tcPr>
          <w:p>
            <w:pPr/>
          </w:p>
        </w:tc>
      </w:tr>
      <w:tr>
        <w:trPr>
          <w:trHeight w:val="5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Комбинированные и повторные операции на органах грудной полости, операции с искусственным кровообращением</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372 047</w:t>
            </w:r>
          </w:p>
        </w:tc>
      </w:tr>
      <w:tr>
        <w:trPr>
          <w:trHeight w:val="264"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Роботассистированные операции на органах грудной полости</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427 714</w:t>
            </w:r>
          </w:p>
        </w:tc>
      </w:tr>
      <w:tr>
        <w:trPr>
          <w:trHeight w:val="264"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Травматология и ортопедия</w:t>
            </w:r>
          </w:p>
        </w:tc>
      </w:tr>
      <w:tr>
        <w:trPr>
          <w:trHeight w:val="127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388 142</w:t>
            </w:r>
          </w:p>
        </w:tc>
      </w:tr>
      <w:tr>
        <w:trPr>
          <w:trHeight w:val="773"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77</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238 489</w:t>
            </w:r>
          </w:p>
        </w:tc>
      </w:tr>
    </w:tbl>
    <w:p>
      <w:pPr>
        <w:spacing w:lineRule="exact" w:line="1"/>
        <w:rPr>
          <w:sz w:val="2"/>
          <w:szCs w:val="2"/>
        </w:rPr>
      </w:pPr>
      <w:r>
        <w:br w:type="page"/>
      </w:r>
    </w:p>
    <w:tbl>
      <w:tblPr>
        <w:tblOverlap w:val="never"/>
        <w:jc w:val="center"/>
        <w:tblLayout w:type="fixed"/>
      </w:tblPr>
      <w:tblGrid>
        <w:gridCol w:w="912"/>
        <w:gridCol w:w="7565"/>
        <w:gridCol w:w="1752"/>
      </w:tblGrid>
      <w:tr>
        <w:trPr>
          <w:trHeight w:val="26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r>
      <w:tr>
        <w:trPr>
          <w:trHeight w:val="514" w:hRule="exact"/>
        </w:trPr>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системных заболеваниях, в том числе с использованием компьютерной навигации</w:t>
            </w:r>
          </w:p>
        </w:tc>
        <w:tc>
          <w:tcPr>
            <w:vMerge w:val="restart"/>
            <w:tcBorders>
              <w:top w:val="single" w:sz="4"/>
              <w:left w:val="single" w:sz="4"/>
              <w:right w:val="single" w:sz="4"/>
            </w:tcBorders>
            <w:shd w:val="clear" w:color="auto" w:fill="auto"/>
            <w:vAlign w:val="top"/>
          </w:tcPr>
          <w:p>
            <w:pPr>
              <w:widowControl w:val="0"/>
              <w:rPr>
                <w:sz w:val="10"/>
                <w:szCs w:val="10"/>
              </w:rPr>
            </w:pPr>
          </w:p>
        </w:tc>
      </w:tr>
      <w:tr>
        <w:trPr>
          <w:trHeight w:val="1277"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vMerge/>
            <w:tcBorders>
              <w:left w:val="single" w:sz="4"/>
              <w:right w:val="single" w:sz="4"/>
            </w:tcBorders>
            <w:shd w:val="clear" w:color="auto" w:fill="auto"/>
            <w:vAlign w:val="top"/>
          </w:tcPr>
          <w:p>
            <w:pPr/>
          </w:p>
        </w:tc>
      </w:tr>
      <w:tr>
        <w:trPr>
          <w:trHeight w:val="514"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Эндопротезирование суставов конечностей у больных с системными заболеваниями соединительной ткани</w:t>
            </w:r>
          </w:p>
        </w:tc>
        <w:tc>
          <w:tcPr>
            <w:vMerge/>
            <w:tcBorders>
              <w:left w:val="single" w:sz="4"/>
              <w:right w:val="single" w:sz="4"/>
            </w:tcBorders>
            <w:shd w:val="clear" w:color="auto" w:fill="auto"/>
            <w:vAlign w:val="top"/>
          </w:tcPr>
          <w:p>
            <w:pPr/>
          </w:p>
        </w:tc>
      </w:tr>
      <w:tr>
        <w:trPr>
          <w:trHeight w:val="10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Реконструктивные и корригирующие операции при сколиотических деформациях позвоночника 3-4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534 177</w:t>
            </w:r>
          </w:p>
        </w:tc>
      </w:tr>
      <w:tr>
        <w:trPr>
          <w:trHeight w:val="10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677 445</w:t>
            </w:r>
          </w:p>
        </w:tc>
      </w:tr>
      <w:tr>
        <w:trPr>
          <w:trHeight w:val="264"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Реэндопротезирование суставов конечностей</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384 548</w:t>
            </w:r>
          </w:p>
        </w:tc>
      </w:tr>
      <w:tr>
        <w:trPr>
          <w:trHeight w:val="76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663 275</w:t>
            </w:r>
          </w:p>
        </w:tc>
      </w:tr>
      <w:tr>
        <w:trPr>
          <w:trHeight w:val="127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343 297</w:t>
            </w:r>
          </w:p>
        </w:tc>
      </w:tr>
      <w:tr>
        <w:trPr>
          <w:trHeight w:val="773"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Ревизионное эндопротезирование суставов при обширных дефектах костной ткани и глубокой перипротезной инфекции с поражением МК8А, МК8Е, микробными ассоциациями и антибактериальной полирезистентностью</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639 846</w:t>
            </w:r>
          </w:p>
        </w:tc>
      </w:tr>
      <w:tr>
        <w:trPr>
          <w:trHeight w:val="76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Ревизионное эндопротезирование суставов с использованием индивидуальных конструкций, изготовленных с применением аддитивных 30-технологий</w:t>
            </w:r>
          </w:p>
        </w:tc>
        <w:tc>
          <w:tcPr>
            <w:vMerge/>
            <w:tcBorders>
              <w:left w:val="single" w:sz="4"/>
              <w:right w:val="single" w:sz="4"/>
            </w:tcBorders>
            <w:shd w:val="clear" w:color="auto" w:fill="auto"/>
            <w:vAlign w:val="top"/>
          </w:tcPr>
          <w:p>
            <w:pPr/>
          </w:p>
        </w:tc>
      </w:tr>
      <w:tr>
        <w:trPr>
          <w:trHeight w:val="5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Восстановление дефектов костей с применением мегаэндопротезов у пациентов с неонкологической патологией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4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1 723 241</w:t>
            </w:r>
          </w:p>
        </w:tc>
      </w:tr>
      <w:tr>
        <w:trPr>
          <w:trHeight w:val="1027"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Реконструктивные и корригирующие операции при многоплоскостных деформациях позвоночника с применением аддитивных ЗЭ-технологий, имплантов, стабилизирующих систем, а также в сочетании с аномалией грудной клетки</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942 904</w:t>
            </w:r>
          </w:p>
        </w:tc>
      </w:tr>
      <w:tr>
        <w:trPr>
          <w:trHeight w:val="1022"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имплантов, стабилизирующих систем с использованием технологии интраоперационной компьютерной навигации</w:t>
            </w:r>
          </w:p>
        </w:tc>
        <w:tc>
          <w:tcPr>
            <w:vMerge/>
            <w:tcBorders>
              <w:left w:val="single" w:sz="4"/>
              <w:right w:val="single" w:sz="4"/>
            </w:tcBorders>
            <w:shd w:val="clear" w:color="auto" w:fill="auto"/>
            <w:vAlign w:val="top"/>
          </w:tcPr>
          <w:p>
            <w:pPr/>
          </w:p>
        </w:tc>
      </w:tr>
      <w:tr>
        <w:trPr>
          <w:trHeight w:val="763"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8"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Пластика нескольких внутрисуставных структур биологическими или синтетическими материалами при тотальной нестабильности коленного сустава</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519 612</w:t>
            </w:r>
          </w:p>
        </w:tc>
      </w:tr>
      <w:tr>
        <w:trPr>
          <w:trHeight w:val="51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Реконструктивные и декомпрессионные операции на позвоночнике при развитии воспалительных заболеваний, спондилодисцитов</w:t>
            </w:r>
          </w:p>
        </w:tc>
        <w:tc>
          <w:tcPr>
            <w:vMerge/>
            <w:tcBorders>
              <w:left w:val="single" w:sz="4"/>
              <w:right w:val="single" w:sz="4"/>
            </w:tcBorders>
            <w:shd w:val="clear" w:color="auto" w:fill="auto"/>
            <w:vAlign w:val="top"/>
          </w:tcPr>
          <w:p>
            <w:pPr/>
          </w:p>
        </w:tc>
      </w:tr>
      <w:tr>
        <w:trPr>
          <w:trHeight w:val="773"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Ревизионные реконструктивные и декомпрессивные операции на позвоночнике при развитии несостоятельности фиксирующих устройств, в том числе, вследствие развития глубокой инфекции</w:t>
            </w:r>
          </w:p>
        </w:tc>
        <w:tc>
          <w:tcPr>
            <w:vMerge/>
            <w:tcBorders>
              <w:left w:val="single" w:sz="4"/>
              <w:right w:val="single" w:sz="4"/>
            </w:tcBorders>
            <w:shd w:val="clear" w:color="auto" w:fill="auto"/>
            <w:vAlign w:val="top"/>
          </w:tcPr>
          <w:p>
            <w:pPr/>
          </w:p>
        </w:tc>
      </w:tr>
      <w:tr>
        <w:trPr>
          <w:trHeight w:val="259"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Т рансплантация</w:t>
            </w:r>
          </w:p>
        </w:tc>
      </w:tr>
      <w:tr>
        <w:trPr>
          <w:trHeight w:val="264"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Трансплантация поджелудочной железы</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4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1 326 519</w:t>
            </w:r>
          </w:p>
        </w:tc>
      </w:tr>
      <w:tr>
        <w:trPr>
          <w:trHeight w:val="264"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Трансплантация поджелудочной железы и почки</w:t>
            </w:r>
          </w:p>
        </w:tc>
        <w:tc>
          <w:tcPr>
            <w:vMerge/>
            <w:tcBorders>
              <w:left w:val="single" w:sz="4"/>
              <w:right w:val="single" w:sz="4"/>
            </w:tcBorders>
            <w:shd w:val="clear" w:color="auto" w:fill="auto"/>
            <w:vAlign w:val="top"/>
          </w:tcPr>
          <w:p>
            <w:pPr/>
          </w:p>
        </w:tc>
      </w:tr>
      <w:tr>
        <w:trPr>
          <w:trHeight w:val="259"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Трансплантация тонкой кишки</w:t>
            </w:r>
          </w:p>
        </w:tc>
        <w:tc>
          <w:tcPr>
            <w:vMerge/>
            <w:tcBorders>
              <w:left w:val="single" w:sz="4"/>
              <w:right w:val="single" w:sz="4"/>
            </w:tcBorders>
            <w:shd w:val="clear" w:color="auto" w:fill="auto"/>
            <w:vAlign w:val="top"/>
          </w:tcPr>
          <w:p>
            <w:pPr/>
          </w:p>
        </w:tc>
      </w:tr>
      <w:tr>
        <w:trPr>
          <w:trHeight w:val="264"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Трансплантация легких</w:t>
            </w:r>
          </w:p>
        </w:tc>
        <w:tc>
          <w:tcPr>
            <w:vMerge/>
            <w:tcBorders>
              <w:left w:val="single" w:sz="4"/>
              <w:right w:val="single" w:sz="4"/>
            </w:tcBorders>
            <w:shd w:val="clear" w:color="auto" w:fill="auto"/>
            <w:vAlign w:val="top"/>
          </w:tcPr>
          <w:p>
            <w:pPr/>
          </w:p>
        </w:tc>
      </w:tr>
      <w:tr>
        <w:trPr>
          <w:trHeight w:val="274"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88</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Трансплантация сердца</w:t>
            </w:r>
          </w:p>
        </w:tc>
        <w:tc>
          <w:tcPr>
            <w:tcBorders>
              <w:top w:val="single" w:sz="4"/>
              <w:left w:val="single" w:sz="4"/>
              <w:bottom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1 670 625</w:t>
            </w:r>
          </w:p>
        </w:tc>
      </w:tr>
    </w:tbl>
    <w:p>
      <w:pPr>
        <w:spacing w:lineRule="exact" w:line="1"/>
        <w:rPr>
          <w:sz w:val="2"/>
          <w:szCs w:val="2"/>
        </w:rPr>
      </w:pPr>
      <w:r>
        <w:br w:type="page"/>
      </w:r>
    </w:p>
    <w:tbl>
      <w:tblPr>
        <w:tblOverlap w:val="never"/>
        <w:jc w:val="center"/>
        <w:tblLayout w:type="fixed"/>
      </w:tblPr>
      <w:tblGrid>
        <w:gridCol w:w="912"/>
        <w:gridCol w:w="7565"/>
        <w:gridCol w:w="1752"/>
      </w:tblGrid>
      <w:tr>
        <w:trPr>
          <w:trHeight w:val="26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r>
      <w:tr>
        <w:trPr>
          <w:trHeight w:val="264"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Трансплантация печени</w:t>
            </w:r>
          </w:p>
        </w:tc>
        <w:tc>
          <w:tcPr>
            <w:tcBorders>
              <w:top w:val="single" w:sz="4"/>
              <w:left w:val="single" w:sz="4"/>
              <w:right w:val="single" w:sz="4"/>
            </w:tcBorders>
            <w:shd w:val="clear" w:color="auto" w:fill="auto"/>
            <w:vAlign w:val="top"/>
          </w:tcPr>
          <w:p>
            <w:pPr>
              <w:widowControl w:val="0"/>
              <w:rPr>
                <w:sz w:val="10"/>
                <w:szCs w:val="10"/>
              </w:rPr>
            </w:pPr>
          </w:p>
        </w:tc>
      </w:tr>
      <w:tr>
        <w:trPr>
          <w:trHeight w:val="264"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Трансплантация сердечно-легочного комплекса</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2 398 649</w:t>
            </w:r>
          </w:p>
        </w:tc>
      </w:tr>
      <w:tr>
        <w:trPr>
          <w:trHeight w:val="259"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90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Трансплантация костного мозга аллогенная</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4 526 159</w:t>
            </w:r>
          </w:p>
        </w:tc>
      </w:tr>
      <w:tr>
        <w:trPr>
          <w:trHeight w:val="264"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91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Трансплантация костного мозга аутологичная</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3 081 632</w:t>
            </w:r>
          </w:p>
        </w:tc>
      </w:tr>
      <w:tr>
        <w:trPr>
          <w:trHeight w:val="259"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Урология</w:t>
            </w:r>
          </w:p>
        </w:tc>
      </w:tr>
      <w:tr>
        <w:trPr>
          <w:trHeight w:val="773"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92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193 367</w:t>
            </w:r>
          </w:p>
        </w:tc>
      </w:tr>
      <w:tr>
        <w:trPr>
          <w:trHeight w:val="514"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Оперативные вмешательства на органах мочеполовой системы с имплантацией синтетических сложных и сетчатых протезов</w:t>
            </w:r>
          </w:p>
        </w:tc>
        <w:tc>
          <w:tcPr>
            <w:vMerge/>
            <w:tcBorders>
              <w:left w:val="single" w:sz="4"/>
              <w:right w:val="single" w:sz="4"/>
            </w:tcBorders>
            <w:shd w:val="clear" w:color="auto" w:fill="auto"/>
            <w:vAlign w:val="top"/>
          </w:tcPr>
          <w:p>
            <w:pPr/>
          </w:p>
        </w:tc>
      </w:tr>
      <w:tr>
        <w:trPr>
          <w:trHeight w:val="264"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Рецидивные и особо сложные операции на органах мочеполовой системы</w:t>
            </w:r>
          </w:p>
        </w:tc>
        <w:tc>
          <w:tcPr>
            <w:vMerge/>
            <w:tcBorders>
              <w:left w:val="single" w:sz="4"/>
              <w:right w:val="single" w:sz="4"/>
            </w:tcBorders>
            <w:shd w:val="clear" w:color="auto" w:fill="auto"/>
            <w:vAlign w:val="top"/>
          </w:tcPr>
          <w:p>
            <w:pPr/>
          </w:p>
        </w:tc>
      </w:tr>
      <w:tr>
        <w:trPr>
          <w:trHeight w:val="514"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93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Оперативные вмешательства на органах мочеполовой системы с использованием лапароскопической техники</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265 728</w:t>
            </w:r>
          </w:p>
        </w:tc>
      </w:tr>
      <w:tr>
        <w:trPr>
          <w:trHeight w:val="51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операции на наружных мужских половых органах</w:t>
            </w:r>
          </w:p>
        </w:tc>
        <w:tc>
          <w:tcPr>
            <w:vMerge/>
            <w:tcBorders>
              <w:left w:val="single" w:sz="4"/>
              <w:right w:val="single" w:sz="4"/>
            </w:tcBorders>
            <w:shd w:val="clear" w:color="auto" w:fill="auto"/>
            <w:vAlign w:val="top"/>
          </w:tcPr>
          <w:p>
            <w:pPr/>
          </w:p>
        </w:tc>
      </w:tr>
      <w:tr>
        <w:trPr>
          <w:trHeight w:val="514"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94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Оперативные вмешательства на органах мочеполовой системы с использованием робототехники</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378 710</w:t>
            </w:r>
          </w:p>
        </w:tc>
      </w:tr>
      <w:tr>
        <w:trPr>
          <w:trHeight w:val="51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операции на наружных мужских половых органах</w:t>
            </w:r>
          </w:p>
        </w:tc>
        <w:tc>
          <w:tcPr>
            <w:vMerge/>
            <w:tcBorders>
              <w:left w:val="single" w:sz="4"/>
              <w:right w:val="single" w:sz="4"/>
            </w:tcBorders>
            <w:shd w:val="clear" w:color="auto" w:fill="auto"/>
            <w:vAlign w:val="top"/>
          </w:tcPr>
          <w:p>
            <w:pPr/>
          </w:p>
        </w:tc>
      </w:tr>
      <w:tr>
        <w:trPr>
          <w:trHeight w:val="518"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95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операции на наружных мужских половых органах</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663 920</w:t>
            </w:r>
          </w:p>
        </w:tc>
      </w:tr>
      <w:tr>
        <w:trPr>
          <w:trHeight w:val="514"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Оперативные вмешательства на органах мочеполовой системы с использованием робототехники</w:t>
            </w:r>
          </w:p>
        </w:tc>
        <w:tc>
          <w:tcPr>
            <w:vMerge/>
            <w:tcBorders>
              <w:left w:val="single" w:sz="4"/>
              <w:right w:val="single" w:sz="4"/>
            </w:tcBorders>
            <w:shd w:val="clear" w:color="auto" w:fill="auto"/>
            <w:vAlign w:val="top"/>
          </w:tcPr>
          <w:p>
            <w:pPr/>
          </w:p>
        </w:tc>
      </w:tr>
      <w:tr>
        <w:trPr>
          <w:trHeight w:val="514"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Оперативное вмешательство с имплантацией искусственного сфинктера мочевого пузыря</w:t>
            </w:r>
          </w:p>
        </w:tc>
        <w:tc>
          <w:tcPr>
            <w:vMerge/>
            <w:tcBorders>
              <w:left w:val="single" w:sz="4"/>
              <w:right w:val="single" w:sz="4"/>
            </w:tcBorders>
            <w:shd w:val="clear" w:color="auto" w:fill="auto"/>
            <w:vAlign w:val="top"/>
          </w:tcPr>
          <w:p>
            <w:pPr/>
          </w:p>
        </w:tc>
      </w:tr>
      <w:tr>
        <w:trPr>
          <w:trHeight w:val="264"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Хирургия</w:t>
            </w:r>
          </w:p>
        </w:tc>
      </w:tr>
      <w:tr>
        <w:trPr>
          <w:trHeight w:val="5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96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Аутологичные реконструктивно-пластические операции по удлинению тонкой кишки у детей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4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1 226 264</w:t>
            </w:r>
          </w:p>
        </w:tc>
      </w:tr>
      <w:tr>
        <w:trPr>
          <w:trHeight w:val="259"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97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Эндоскопические операции на органах панкреатобилиарной зоны</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502 644</w:t>
            </w:r>
          </w:p>
        </w:tc>
      </w:tr>
      <w:tr>
        <w:trPr>
          <w:trHeight w:val="264"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Челюстно-лицевая хирургия</w:t>
            </w:r>
          </w:p>
        </w:tc>
      </w:tr>
      <w:tr>
        <w:trPr>
          <w:trHeight w:val="518"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98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операции при врожденных пороках развития черепно-челюстно-лицевой области</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240 355</w:t>
            </w:r>
          </w:p>
        </w:tc>
      </w:tr>
      <w:tr>
        <w:trPr>
          <w:trHeight w:val="76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vMerge/>
            <w:tcBorders>
              <w:left w:val="single" w:sz="4"/>
              <w:right w:val="single" w:sz="4"/>
            </w:tcBorders>
            <w:shd w:val="clear" w:color="auto" w:fill="auto"/>
            <w:vAlign w:val="top"/>
          </w:tcPr>
          <w:p>
            <w:pPr/>
          </w:p>
        </w:tc>
      </w:tr>
      <w:tr>
        <w:trPr>
          <w:trHeight w:val="514"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операции по устранению обширных дефектов костей свода черепа, лицевого скелета</w:t>
            </w:r>
          </w:p>
        </w:tc>
        <w:tc>
          <w:tcPr>
            <w:vMerge/>
            <w:tcBorders>
              <w:left w:val="single" w:sz="4"/>
              <w:right w:val="single" w:sz="4"/>
            </w:tcBorders>
            <w:shd w:val="clear" w:color="auto" w:fill="auto"/>
            <w:vAlign w:val="top"/>
          </w:tcPr>
          <w:p>
            <w:pPr/>
          </w:p>
        </w:tc>
      </w:tr>
      <w:tr>
        <w:trPr>
          <w:trHeight w:val="51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операции по восстановлению функций пораженного нерва с использованием микрохирургической техники</w:t>
            </w:r>
          </w:p>
        </w:tc>
        <w:tc>
          <w:tcPr>
            <w:vMerge/>
            <w:tcBorders>
              <w:left w:val="single" w:sz="4"/>
              <w:right w:val="single" w:sz="4"/>
            </w:tcBorders>
            <w:shd w:val="clear" w:color="auto" w:fill="auto"/>
            <w:vAlign w:val="top"/>
          </w:tcPr>
          <w:p>
            <w:pPr/>
          </w:p>
        </w:tc>
      </w:tr>
      <w:tr>
        <w:trPr>
          <w:trHeight w:val="127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99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354 726</w:t>
            </w:r>
          </w:p>
        </w:tc>
      </w:tr>
      <w:tr>
        <w:trPr>
          <w:trHeight w:val="259" w:hRule="exact"/>
        </w:trPr>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Эндокринология</w:t>
            </w:r>
          </w:p>
        </w:tc>
      </w:tr>
      <w:tr>
        <w:trPr>
          <w:trHeight w:val="773"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95"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469 952</w:t>
            </w:r>
          </w:p>
        </w:tc>
      </w:tr>
      <w:tr>
        <w:trPr>
          <w:trHeight w:val="1526"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101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93"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130 713</w:t>
            </w:r>
          </w:p>
        </w:tc>
      </w:tr>
      <w:tr>
        <w:trPr>
          <w:trHeight w:val="264"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Комплексное лечение тяжелых форм тиреотоксикоза, гиперпаратиреоза</w:t>
            </w:r>
          </w:p>
        </w:tc>
        <w:tc>
          <w:tcPr>
            <w:vMerge/>
            <w:tcBorders>
              <w:left w:val="single" w:sz="4"/>
              <w:right w:val="single" w:sz="4"/>
            </w:tcBorders>
            <w:shd w:val="clear" w:color="auto" w:fill="auto"/>
            <w:vAlign w:val="top"/>
          </w:tcPr>
          <w:p>
            <w:pPr/>
          </w:p>
        </w:tc>
      </w:tr>
      <w:tr>
        <w:trPr>
          <w:trHeight w:val="269"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0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102</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Гастроинтестинальные комбинированные рестриктивно-шунтирующие</w:t>
            </w:r>
          </w:p>
        </w:tc>
        <w:tc>
          <w:tcPr>
            <w:tcBorders>
              <w:top w:val="single" w:sz="4"/>
              <w:left w:val="single" w:sz="4"/>
              <w:bottom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343 095</w:t>
            </w:r>
          </w:p>
        </w:tc>
      </w:tr>
    </w:tbl>
    <w:tbl>
      <w:tblPr>
        <w:tblOverlap w:val="never"/>
        <w:jc w:val="center"/>
        <w:tblLayout w:type="fixed"/>
      </w:tblPr>
      <w:tblGrid>
        <w:gridCol w:w="912"/>
        <w:gridCol w:w="7565"/>
        <w:gridCol w:w="1752"/>
      </w:tblGrid>
      <w:tr>
        <w:trPr>
          <w:trHeight w:val="26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r>
      <w:tr>
        <w:trPr>
          <w:trHeight w:val="269" w:hRule="exact"/>
        </w:trPr>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операции при сахарном диабете 2 типа</w:t>
            </w: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widowControl w:val="0"/>
        <w:spacing w:after="299" w:line="1" w:lineRule="exact"/>
      </w:pPr>
    </w:p>
    <w:p>
      <w:pPr>
        <w:pStyle w:val="Style4"/>
        <w:keepNext w:val="0"/>
        <w:keepLines w:val="0"/>
        <w:widowControl w:val="0"/>
        <w:numPr>
          <w:ilvl w:val="0"/>
          <w:numId w:val="129"/>
        </w:numPr>
        <w:shd w:val="clear" w:color="auto" w:fill="auto"/>
        <w:tabs>
          <w:tab w:pos="99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Коды по международной статистической классификации болезней и проблем, связанных со здоровьем (10-й пересмотр), модель пациента, вид и метод лечения, соответствующие каждому виду ВМП, предусмотрены в соответствующем приложении к программе государственных гарантий бесплатного оказания гражданам медицинской помощи, утверждаемой постановлением Правительства Российской Федерации.</w:t>
      </w:r>
    </w:p>
    <w:p>
      <w:pPr>
        <w:pStyle w:val="Style4"/>
        <w:keepNext w:val="0"/>
        <w:keepLines w:val="0"/>
        <w:widowControl w:val="0"/>
        <w:numPr>
          <w:ilvl w:val="0"/>
          <w:numId w:val="129"/>
        </w:numPr>
        <w:shd w:val="clear" w:color="auto" w:fill="auto"/>
        <w:tabs>
          <w:tab w:pos="991"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ВМП оплачивается с применением коэффициента дифференциации к доле заработной платы в составе норматива финансовых затрат на единицу объема предоставления медицинской помощи:</w:t>
      </w:r>
    </w:p>
    <w:p>
      <w:pPr>
        <w:pStyle w:val="Style4"/>
        <w:keepNext w:val="0"/>
        <w:keepLines w:val="0"/>
        <w:widowControl w:val="0"/>
        <w:numPr>
          <w:ilvl w:val="0"/>
          <w:numId w:val="131"/>
        </w:numPr>
        <w:shd w:val="clear" w:color="auto" w:fill="auto"/>
        <w:tabs>
          <w:tab w:pos="991"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- 38 %;</w:t>
      </w:r>
    </w:p>
    <w:p>
      <w:pPr>
        <w:pStyle w:val="Style4"/>
        <w:keepNext w:val="0"/>
        <w:keepLines w:val="0"/>
        <w:widowControl w:val="0"/>
        <w:numPr>
          <w:ilvl w:val="0"/>
          <w:numId w:val="131"/>
        </w:numPr>
        <w:shd w:val="clear" w:color="auto" w:fill="auto"/>
        <w:tabs>
          <w:tab w:pos="1020"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- 44 %;</w:t>
      </w:r>
    </w:p>
    <w:p>
      <w:pPr>
        <w:pStyle w:val="Style4"/>
        <w:keepNext w:val="0"/>
        <w:keepLines w:val="0"/>
        <w:widowControl w:val="0"/>
        <w:numPr>
          <w:ilvl w:val="0"/>
          <w:numId w:val="131"/>
        </w:numPr>
        <w:shd w:val="clear" w:color="auto" w:fill="auto"/>
        <w:tabs>
          <w:tab w:pos="1006"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- 19 %;</w:t>
      </w:r>
    </w:p>
    <w:p>
      <w:pPr>
        <w:pStyle w:val="Style4"/>
        <w:keepNext w:val="0"/>
        <w:keepLines w:val="0"/>
        <w:widowControl w:val="0"/>
        <w:numPr>
          <w:ilvl w:val="0"/>
          <w:numId w:val="131"/>
        </w:numPr>
        <w:shd w:val="clear" w:color="auto" w:fill="auto"/>
        <w:tabs>
          <w:tab w:pos="1025"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- 20 %;</w:t>
      </w:r>
    </w:p>
    <w:p>
      <w:pPr>
        <w:pStyle w:val="Style4"/>
        <w:keepNext w:val="0"/>
        <w:keepLines w:val="0"/>
        <w:widowControl w:val="0"/>
        <w:numPr>
          <w:ilvl w:val="0"/>
          <w:numId w:val="131"/>
        </w:numPr>
        <w:shd w:val="clear" w:color="auto" w:fill="auto"/>
        <w:tabs>
          <w:tab w:pos="1006"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- 25 %;</w:t>
      </w:r>
    </w:p>
    <w:p>
      <w:pPr>
        <w:pStyle w:val="Style4"/>
        <w:keepNext w:val="0"/>
        <w:keepLines w:val="0"/>
        <w:widowControl w:val="0"/>
        <w:numPr>
          <w:ilvl w:val="0"/>
          <w:numId w:val="131"/>
        </w:numPr>
        <w:shd w:val="clear" w:color="auto" w:fill="auto"/>
        <w:tabs>
          <w:tab w:pos="1020"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- 35 %;</w:t>
      </w:r>
    </w:p>
    <w:p>
      <w:pPr>
        <w:pStyle w:val="Style4"/>
        <w:keepNext w:val="0"/>
        <w:keepLines w:val="0"/>
        <w:widowControl w:val="0"/>
        <w:numPr>
          <w:ilvl w:val="0"/>
          <w:numId w:val="131"/>
        </w:numPr>
        <w:shd w:val="clear" w:color="auto" w:fill="auto"/>
        <w:tabs>
          <w:tab w:pos="1020"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- 8 %;</w:t>
      </w:r>
    </w:p>
    <w:p>
      <w:pPr>
        <w:pStyle w:val="Style4"/>
        <w:keepNext w:val="0"/>
        <w:keepLines w:val="0"/>
        <w:widowControl w:val="0"/>
        <w:numPr>
          <w:ilvl w:val="0"/>
          <w:numId w:val="131"/>
        </w:numPr>
        <w:shd w:val="clear" w:color="auto" w:fill="auto"/>
        <w:tabs>
          <w:tab w:pos="1006"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- 55 %;</w:t>
      </w:r>
    </w:p>
    <w:p>
      <w:pPr>
        <w:pStyle w:val="Style4"/>
        <w:keepNext w:val="0"/>
        <w:keepLines w:val="0"/>
        <w:widowControl w:val="0"/>
        <w:numPr>
          <w:ilvl w:val="0"/>
          <w:numId w:val="131"/>
        </w:numPr>
        <w:shd w:val="clear" w:color="auto" w:fill="auto"/>
        <w:tabs>
          <w:tab w:pos="1020"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- 38 %;</w:t>
      </w:r>
    </w:p>
    <w:p>
      <w:pPr>
        <w:pStyle w:val="Style4"/>
        <w:keepNext w:val="0"/>
        <w:keepLines w:val="0"/>
        <w:widowControl w:val="0"/>
        <w:numPr>
          <w:ilvl w:val="0"/>
          <w:numId w:val="131"/>
        </w:numPr>
        <w:shd w:val="clear" w:color="auto" w:fill="auto"/>
        <w:tabs>
          <w:tab w:pos="1140"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- 53 %;</w:t>
      </w:r>
    </w:p>
    <w:p>
      <w:pPr>
        <w:pStyle w:val="Style4"/>
        <w:keepNext w:val="0"/>
        <w:keepLines w:val="0"/>
        <w:widowControl w:val="0"/>
        <w:numPr>
          <w:ilvl w:val="0"/>
          <w:numId w:val="131"/>
        </w:numPr>
        <w:shd w:val="clear" w:color="auto" w:fill="auto"/>
        <w:tabs>
          <w:tab w:pos="1111"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- 32 %;</w:t>
      </w:r>
    </w:p>
    <w:p>
      <w:pPr>
        <w:pStyle w:val="Style4"/>
        <w:keepNext w:val="0"/>
        <w:keepLines w:val="0"/>
        <w:widowControl w:val="0"/>
        <w:numPr>
          <w:ilvl w:val="0"/>
          <w:numId w:val="131"/>
        </w:numPr>
        <w:shd w:val="clear" w:color="auto" w:fill="auto"/>
        <w:tabs>
          <w:tab w:pos="1135"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- 29 %;</w:t>
      </w:r>
    </w:p>
    <w:p>
      <w:pPr>
        <w:pStyle w:val="Style4"/>
        <w:keepNext w:val="0"/>
        <w:keepLines w:val="0"/>
        <w:widowControl w:val="0"/>
        <w:numPr>
          <w:ilvl w:val="0"/>
          <w:numId w:val="131"/>
        </w:numPr>
        <w:shd w:val="clear" w:color="auto" w:fill="auto"/>
        <w:tabs>
          <w:tab w:pos="1126"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группа-23 %;</w:t>
      </w:r>
    </w:p>
    <w:p>
      <w:pPr>
        <w:pStyle w:val="Style4"/>
        <w:keepNext w:val="0"/>
        <w:keepLines w:val="0"/>
        <w:widowControl w:val="0"/>
        <w:numPr>
          <w:ilvl w:val="0"/>
          <w:numId w:val="131"/>
        </w:numPr>
        <w:shd w:val="clear" w:color="auto" w:fill="auto"/>
        <w:tabs>
          <w:tab w:pos="1140"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- 20 %;</w:t>
      </w:r>
    </w:p>
    <w:p>
      <w:pPr>
        <w:pStyle w:val="Style4"/>
        <w:keepNext w:val="0"/>
        <w:keepLines w:val="0"/>
        <w:widowControl w:val="0"/>
        <w:numPr>
          <w:ilvl w:val="0"/>
          <w:numId w:val="131"/>
        </w:numPr>
        <w:shd w:val="clear" w:color="auto" w:fill="auto"/>
        <w:tabs>
          <w:tab w:pos="1130"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- 20 %;</w:t>
      </w:r>
    </w:p>
    <w:p>
      <w:pPr>
        <w:pStyle w:val="Style4"/>
        <w:keepNext w:val="0"/>
        <w:keepLines w:val="0"/>
        <w:widowControl w:val="0"/>
        <w:numPr>
          <w:ilvl w:val="0"/>
          <w:numId w:val="131"/>
        </w:numPr>
        <w:shd w:val="clear" w:color="auto" w:fill="auto"/>
        <w:tabs>
          <w:tab w:pos="1135"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- 42 %;</w:t>
      </w:r>
    </w:p>
    <w:p>
      <w:pPr>
        <w:pStyle w:val="Style4"/>
        <w:keepNext w:val="0"/>
        <w:keepLines w:val="0"/>
        <w:widowControl w:val="0"/>
        <w:numPr>
          <w:ilvl w:val="0"/>
          <w:numId w:val="131"/>
        </w:numPr>
        <w:shd w:val="clear" w:color="auto" w:fill="auto"/>
        <w:tabs>
          <w:tab w:pos="1135"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группа-32 %;</w:t>
      </w:r>
    </w:p>
    <w:p>
      <w:pPr>
        <w:pStyle w:val="Style4"/>
        <w:keepNext w:val="0"/>
        <w:keepLines w:val="0"/>
        <w:widowControl w:val="0"/>
        <w:numPr>
          <w:ilvl w:val="0"/>
          <w:numId w:val="131"/>
        </w:numPr>
        <w:shd w:val="clear" w:color="auto" w:fill="auto"/>
        <w:tabs>
          <w:tab w:pos="1130"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- 2 %;</w:t>
      </w:r>
    </w:p>
    <w:p>
      <w:pPr>
        <w:pStyle w:val="Style4"/>
        <w:keepNext w:val="0"/>
        <w:keepLines w:val="0"/>
        <w:widowControl w:val="0"/>
        <w:numPr>
          <w:ilvl w:val="0"/>
          <w:numId w:val="131"/>
        </w:numPr>
        <w:shd w:val="clear" w:color="auto" w:fill="auto"/>
        <w:tabs>
          <w:tab w:pos="1135"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группа-25 %;</w:t>
      </w:r>
    </w:p>
    <w:p>
      <w:pPr>
        <w:pStyle w:val="Style4"/>
        <w:keepNext w:val="0"/>
        <w:keepLines w:val="0"/>
        <w:widowControl w:val="0"/>
        <w:numPr>
          <w:ilvl w:val="0"/>
          <w:numId w:val="131"/>
        </w:numPr>
        <w:shd w:val="clear" w:color="auto" w:fill="auto"/>
        <w:tabs>
          <w:tab w:pos="1169"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- 34 %;</w:t>
      </w:r>
    </w:p>
    <w:p>
      <w:pPr>
        <w:pStyle w:val="Style4"/>
        <w:keepNext w:val="0"/>
        <w:keepLines w:val="0"/>
        <w:widowControl w:val="0"/>
        <w:numPr>
          <w:ilvl w:val="0"/>
          <w:numId w:val="131"/>
        </w:numPr>
        <w:shd w:val="clear" w:color="auto" w:fill="auto"/>
        <w:tabs>
          <w:tab w:pos="1140"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группа-29 %;</w:t>
      </w:r>
    </w:p>
    <w:p>
      <w:pPr>
        <w:pStyle w:val="Style4"/>
        <w:keepNext w:val="0"/>
        <w:keepLines w:val="0"/>
        <w:widowControl w:val="0"/>
        <w:numPr>
          <w:ilvl w:val="0"/>
          <w:numId w:val="131"/>
        </w:numPr>
        <w:shd w:val="clear" w:color="auto" w:fill="auto"/>
        <w:tabs>
          <w:tab w:pos="1164"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- 59 %;</w:t>
      </w:r>
    </w:p>
    <w:p>
      <w:pPr>
        <w:pStyle w:val="Style4"/>
        <w:keepNext w:val="0"/>
        <w:keepLines w:val="0"/>
        <w:widowControl w:val="0"/>
        <w:numPr>
          <w:ilvl w:val="0"/>
          <w:numId w:val="131"/>
        </w:numPr>
        <w:shd w:val="clear" w:color="auto" w:fill="auto"/>
        <w:tabs>
          <w:tab w:pos="1154"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группа-41 %;</w:t>
      </w:r>
    </w:p>
    <w:p>
      <w:pPr>
        <w:pStyle w:val="Style4"/>
        <w:keepNext w:val="0"/>
        <w:keepLines w:val="0"/>
        <w:widowControl w:val="0"/>
        <w:numPr>
          <w:ilvl w:val="0"/>
          <w:numId w:val="131"/>
        </w:numPr>
        <w:shd w:val="clear" w:color="auto" w:fill="auto"/>
        <w:tabs>
          <w:tab w:pos="1169"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- 27 %;</w:t>
      </w:r>
    </w:p>
    <w:p>
      <w:pPr>
        <w:pStyle w:val="Style4"/>
        <w:keepNext w:val="0"/>
        <w:keepLines w:val="0"/>
        <w:widowControl w:val="0"/>
        <w:numPr>
          <w:ilvl w:val="0"/>
          <w:numId w:val="131"/>
        </w:numPr>
        <w:shd w:val="clear" w:color="auto" w:fill="auto"/>
        <w:tabs>
          <w:tab w:pos="1159"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- 42 %;</w:t>
      </w:r>
    </w:p>
    <w:p>
      <w:pPr>
        <w:pStyle w:val="Style4"/>
        <w:keepNext w:val="0"/>
        <w:keepLines w:val="0"/>
        <w:widowControl w:val="0"/>
        <w:numPr>
          <w:ilvl w:val="0"/>
          <w:numId w:val="131"/>
        </w:numPr>
        <w:shd w:val="clear" w:color="auto" w:fill="auto"/>
        <w:tabs>
          <w:tab w:pos="1164"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- 40 %;</w:t>
      </w:r>
    </w:p>
    <w:p>
      <w:pPr>
        <w:pStyle w:val="Style4"/>
        <w:keepNext w:val="0"/>
        <w:keepLines w:val="0"/>
        <w:widowControl w:val="0"/>
        <w:numPr>
          <w:ilvl w:val="0"/>
          <w:numId w:val="131"/>
        </w:numPr>
        <w:shd w:val="clear" w:color="auto" w:fill="auto"/>
        <w:tabs>
          <w:tab w:pos="1164"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- 39 %;</w:t>
      </w:r>
    </w:p>
    <w:p>
      <w:pPr>
        <w:pStyle w:val="Style4"/>
        <w:keepNext w:val="0"/>
        <w:keepLines w:val="0"/>
        <w:widowControl w:val="0"/>
        <w:numPr>
          <w:ilvl w:val="0"/>
          <w:numId w:val="131"/>
        </w:numPr>
        <w:shd w:val="clear" w:color="auto" w:fill="auto"/>
        <w:tabs>
          <w:tab w:pos="1159"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- 26 %;</w:t>
      </w:r>
    </w:p>
    <w:p>
      <w:pPr>
        <w:pStyle w:val="Style4"/>
        <w:keepNext w:val="0"/>
        <w:keepLines w:val="0"/>
        <w:widowControl w:val="0"/>
        <w:numPr>
          <w:ilvl w:val="0"/>
          <w:numId w:val="131"/>
        </w:numPr>
        <w:shd w:val="clear" w:color="auto" w:fill="auto"/>
        <w:tabs>
          <w:tab w:pos="1164"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- 30 %;</w:t>
      </w:r>
    </w:p>
    <w:p>
      <w:pPr>
        <w:pStyle w:val="Style4"/>
        <w:keepNext w:val="0"/>
        <w:keepLines w:val="0"/>
        <w:widowControl w:val="0"/>
        <w:numPr>
          <w:ilvl w:val="0"/>
          <w:numId w:val="131"/>
        </w:numPr>
        <w:shd w:val="clear" w:color="auto" w:fill="auto"/>
        <w:tabs>
          <w:tab w:pos="1164"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- 23 %;</w:t>
      </w:r>
    </w:p>
    <w:p>
      <w:pPr>
        <w:pStyle w:val="Style4"/>
        <w:keepNext w:val="0"/>
        <w:keepLines w:val="0"/>
        <w:widowControl w:val="0"/>
        <w:numPr>
          <w:ilvl w:val="0"/>
          <w:numId w:val="131"/>
        </w:numPr>
        <w:shd w:val="clear" w:color="auto" w:fill="auto"/>
        <w:tabs>
          <w:tab w:pos="1135"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- 49 %;</w:t>
      </w:r>
    </w:p>
    <w:p>
      <w:pPr>
        <w:pStyle w:val="Style4"/>
        <w:keepNext w:val="0"/>
        <w:keepLines w:val="0"/>
        <w:widowControl w:val="0"/>
        <w:numPr>
          <w:ilvl w:val="0"/>
          <w:numId w:val="131"/>
        </w:numPr>
        <w:shd w:val="clear" w:color="auto" w:fill="auto"/>
        <w:tabs>
          <w:tab w:pos="1159"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- 40 %;</w:t>
      </w:r>
    </w:p>
    <w:p>
      <w:pPr>
        <w:pStyle w:val="Style4"/>
        <w:keepNext w:val="0"/>
        <w:keepLines w:val="0"/>
        <w:widowControl w:val="0"/>
        <w:numPr>
          <w:ilvl w:val="0"/>
          <w:numId w:val="131"/>
        </w:numPr>
        <w:shd w:val="clear" w:color="auto" w:fill="auto"/>
        <w:tabs>
          <w:tab w:pos="1150"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группа-39 %;</w:t>
      </w:r>
    </w:p>
    <w:p>
      <w:pPr>
        <w:pStyle w:val="Style4"/>
        <w:keepNext w:val="0"/>
        <w:keepLines w:val="0"/>
        <w:widowControl w:val="0"/>
        <w:numPr>
          <w:ilvl w:val="0"/>
          <w:numId w:val="131"/>
        </w:numPr>
        <w:shd w:val="clear" w:color="auto" w:fill="auto"/>
        <w:tabs>
          <w:tab w:pos="1164" w:val="left"/>
        </w:tabs>
        <w:bidi w:val="0"/>
        <w:spacing w:before="0" w:after="0" w:line="240" w:lineRule="auto"/>
        <w:ind w:left="0" w:right="0" w:firstLine="700"/>
        <w:jc w:val="both"/>
        <w:sectPr>
          <w:headerReference w:type="default" r:id="rId27"/>
          <w:footnotePr>
            <w:pos w:val="pageBottom"/>
            <w:numFmt w:val="decimal"/>
            <w:numRestart w:val="continuous"/>
          </w:footnotePr>
          <w:pgSz w:w="11900" w:h="16840"/>
          <w:pgMar w:top="1129" w:right="767" w:bottom="865" w:left="851" w:header="0" w:footer="437" w:gutter="0"/>
          <w:pgNumType w:start="12"/>
          <w:cols w:space="720"/>
          <w:noEndnote/>
          <w:rtlGutter w:val="0"/>
          <w:docGrid w:linePitch="360"/>
        </w:sectPr>
      </w:pPr>
      <w:r>
        <w:rPr>
          <w:color w:val="000000"/>
          <w:spacing w:val="0"/>
          <w:w w:val="100"/>
          <w:position w:val="0"/>
          <w:shd w:val="clear" w:color="auto" w:fill="auto"/>
          <w:lang w:val="ru-RU" w:eastAsia="ru-RU" w:bidi="ru-RU"/>
        </w:rPr>
        <w:t>группа - 28 %;</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35</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36</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37</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38</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39</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40</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41</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42</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43</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44</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45</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46</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47</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48</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49</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50</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51</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52</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53</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54</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55</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56</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57</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58</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59</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60</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61</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62</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63</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64</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65</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66</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67</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68</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69</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70</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71</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72</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73</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74</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75</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76</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77</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78</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79</w:t>
      </w:r>
    </w:p>
    <w:p>
      <w:pPr>
        <w:pStyle w:val="Style23"/>
        <w:keepNext w:val="0"/>
        <w:keepLines w:val="0"/>
        <w:framePr w:w="456" w:h="14736" w:wrap="around" w:hAnchor="margin" w:x="-359" w:y="39"/>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80</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группа группа группа группа группа группа группа группа группа группа группа группа группа группа группа группа группа группа группа группа группа группа группа группа группа группа группа группа группа группа группа группа группа группа группа группа группа группа группа группа группа группа группа группа группа группа</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- 10 %;</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-44%;</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-32%;</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-47%;</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-43%;</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-26%;</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-38%;</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-25%;</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-22%;</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-34%;</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-22%;</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-46%;</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-40%;</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-9%;</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- 8 %;</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-7%;</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- 17 %;</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-42%;</w:t>
      </w:r>
    </w:p>
    <w:p>
      <w:pPr>
        <w:pStyle w:val="Style4"/>
        <w:keepNext w:val="0"/>
        <w:keepLines w:val="0"/>
        <w:widowControl w:val="0"/>
        <w:numPr>
          <w:ilvl w:val="0"/>
          <w:numId w:val="133"/>
        </w:numPr>
        <w:shd w:val="clear" w:color="auto" w:fill="auto"/>
        <w:tabs>
          <w:tab w:pos="349" w:val="left"/>
        </w:tabs>
        <w:bidi w:val="0"/>
        <w:spacing w:before="0" w:after="0" w:line="240" w:lineRule="auto"/>
        <w:ind w:left="0" w:right="0" w:firstLine="0"/>
        <w:jc w:val="both"/>
      </w:pPr>
      <w:r>
        <w:rPr>
          <w:color w:val="000000"/>
          <w:spacing w:val="0"/>
          <w:w w:val="100"/>
          <w:position w:val="0"/>
          <w:shd w:val="clear" w:color="auto" w:fill="auto"/>
          <w:lang w:val="ru-RU" w:eastAsia="ru-RU" w:bidi="ru-RU"/>
        </w:rPr>
        <w:t>57 %;</w:t>
      </w:r>
    </w:p>
    <w:p>
      <w:pPr>
        <w:pStyle w:val="Style4"/>
        <w:keepNext w:val="0"/>
        <w:keepLines w:val="0"/>
        <w:widowControl w:val="0"/>
        <w:numPr>
          <w:ilvl w:val="0"/>
          <w:numId w:val="133"/>
        </w:numPr>
        <w:shd w:val="clear" w:color="auto" w:fill="auto"/>
        <w:tabs>
          <w:tab w:pos="349" w:val="left"/>
        </w:tabs>
        <w:bidi w:val="0"/>
        <w:spacing w:before="0" w:after="0" w:line="240" w:lineRule="auto"/>
        <w:ind w:left="0" w:right="0" w:firstLine="0"/>
        <w:jc w:val="both"/>
      </w:pPr>
      <w:r>
        <w:rPr>
          <w:color w:val="000000"/>
          <w:spacing w:val="0"/>
          <w:w w:val="100"/>
          <w:position w:val="0"/>
          <w:shd w:val="clear" w:color="auto" w:fill="auto"/>
          <w:lang w:val="ru-RU" w:eastAsia="ru-RU" w:bidi="ru-RU"/>
        </w:rPr>
        <w:t>21 %;</w:t>
      </w:r>
    </w:p>
    <w:p>
      <w:pPr>
        <w:pStyle w:val="Style4"/>
        <w:keepNext w:val="0"/>
        <w:keepLines w:val="0"/>
        <w:widowControl w:val="0"/>
        <w:numPr>
          <w:ilvl w:val="0"/>
          <w:numId w:val="133"/>
        </w:numPr>
        <w:shd w:val="clear" w:color="auto" w:fill="auto"/>
        <w:tabs>
          <w:tab w:pos="349" w:val="left"/>
        </w:tabs>
        <w:bidi w:val="0"/>
        <w:spacing w:before="0" w:after="0" w:line="240" w:lineRule="auto"/>
        <w:ind w:left="0" w:right="0" w:firstLine="0"/>
        <w:jc w:val="both"/>
      </w:pPr>
      <w:r>
        <w:rPr>
          <w:color w:val="000000"/>
          <w:spacing w:val="0"/>
          <w:w w:val="100"/>
          <w:position w:val="0"/>
          <w:shd w:val="clear" w:color="auto" w:fill="auto"/>
          <w:lang w:val="ru-RU" w:eastAsia="ru-RU" w:bidi="ru-RU"/>
        </w:rPr>
        <w:t>13 %;</w:t>
      </w:r>
    </w:p>
    <w:p>
      <w:pPr>
        <w:pStyle w:val="Style4"/>
        <w:keepNext w:val="0"/>
        <w:keepLines w:val="0"/>
        <w:widowControl w:val="0"/>
        <w:numPr>
          <w:ilvl w:val="0"/>
          <w:numId w:val="133"/>
        </w:numPr>
        <w:shd w:val="clear" w:color="auto" w:fill="auto"/>
        <w:tabs>
          <w:tab w:pos="349" w:val="left"/>
        </w:tabs>
        <w:bidi w:val="0"/>
        <w:spacing w:before="0" w:after="0" w:line="240" w:lineRule="auto"/>
        <w:ind w:left="0" w:right="0" w:firstLine="0"/>
        <w:jc w:val="both"/>
      </w:pPr>
      <w:r>
        <w:rPr>
          <w:color w:val="000000"/>
          <w:spacing w:val="0"/>
          <w:w w:val="100"/>
          <w:position w:val="0"/>
          <w:shd w:val="clear" w:color="auto" w:fill="auto"/>
          <w:lang w:val="ru-RU" w:eastAsia="ru-RU" w:bidi="ru-RU"/>
        </w:rPr>
        <w:t>17 %;</w:t>
      </w:r>
    </w:p>
    <w:p>
      <w:pPr>
        <w:pStyle w:val="Style4"/>
        <w:keepNext w:val="0"/>
        <w:keepLines w:val="0"/>
        <w:widowControl w:val="0"/>
        <w:numPr>
          <w:ilvl w:val="0"/>
          <w:numId w:val="133"/>
        </w:numPr>
        <w:shd w:val="clear" w:color="auto" w:fill="auto"/>
        <w:tabs>
          <w:tab w:pos="349" w:val="left"/>
        </w:tabs>
        <w:bidi w:val="0"/>
        <w:spacing w:before="0" w:after="0" w:line="240" w:lineRule="auto"/>
        <w:ind w:left="0" w:right="0" w:firstLine="0"/>
        <w:jc w:val="both"/>
      </w:pPr>
      <w:r>
        <w:rPr>
          <w:color w:val="000000"/>
          <w:spacing w:val="0"/>
          <w:w w:val="100"/>
          <w:position w:val="0"/>
          <w:shd w:val="clear" w:color="auto" w:fill="auto"/>
          <w:lang w:val="ru-RU" w:eastAsia="ru-RU" w:bidi="ru-RU"/>
        </w:rPr>
        <w:t>12 %;</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- 14 %;</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-4%;</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-2%;</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- 12 %;</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- 8 %;</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-22%;</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-6%;</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-4%;</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-21 %;</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-18%;</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-28%;</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-37%;</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-26%;</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-49%;</w:t>
      </w:r>
    </w:p>
    <w:p>
      <w:pPr>
        <w:pStyle w:val="Style4"/>
        <w:keepNext w:val="0"/>
        <w:keepLines w:val="0"/>
        <w:widowControl w:val="0"/>
        <w:numPr>
          <w:ilvl w:val="0"/>
          <w:numId w:val="135"/>
        </w:numPr>
        <w:shd w:val="clear" w:color="auto" w:fill="auto"/>
        <w:tabs>
          <w:tab w:pos="349" w:val="left"/>
        </w:tabs>
        <w:bidi w:val="0"/>
        <w:spacing w:before="0" w:after="0" w:line="240" w:lineRule="auto"/>
        <w:ind w:left="0" w:right="0" w:firstLine="0"/>
        <w:jc w:val="both"/>
      </w:pPr>
      <w:r>
        <w:rPr>
          <w:color w:val="000000"/>
          <w:spacing w:val="0"/>
          <w:w w:val="100"/>
          <w:position w:val="0"/>
          <w:shd w:val="clear" w:color="auto" w:fill="auto"/>
          <w:lang w:val="ru-RU" w:eastAsia="ru-RU" w:bidi="ru-RU"/>
        </w:rPr>
        <w:t>10 %;</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-15%;</w:t>
      </w:r>
    </w:p>
    <w:p>
      <w:pPr>
        <w:pStyle w:val="Style4"/>
        <w:keepNext w:val="0"/>
        <w:keepLines w:val="0"/>
        <w:widowControl w:val="0"/>
        <w:numPr>
          <w:ilvl w:val="0"/>
          <w:numId w:val="135"/>
        </w:numPr>
        <w:shd w:val="clear" w:color="auto" w:fill="auto"/>
        <w:tabs>
          <w:tab w:pos="349" w:val="left"/>
        </w:tabs>
        <w:bidi w:val="0"/>
        <w:spacing w:before="0" w:after="0" w:line="240" w:lineRule="auto"/>
        <w:ind w:left="0" w:right="0" w:firstLine="0"/>
        <w:jc w:val="both"/>
      </w:pPr>
      <w:r>
        <w:rPr>
          <w:color w:val="000000"/>
          <w:spacing w:val="0"/>
          <w:w w:val="100"/>
          <w:position w:val="0"/>
          <w:shd w:val="clear" w:color="auto" w:fill="auto"/>
          <w:lang w:val="ru-RU" w:eastAsia="ru-RU" w:bidi="ru-RU"/>
        </w:rPr>
        <w:t>12 %;</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-15%;</w:t>
      </w:r>
    </w:p>
    <w:p>
      <w:pPr>
        <w:pStyle w:val="Style4"/>
        <w:keepNext w:val="0"/>
        <w:keepLines w:val="0"/>
        <w:widowControl w:val="0"/>
        <w:numPr>
          <w:ilvl w:val="0"/>
          <w:numId w:val="135"/>
        </w:numPr>
        <w:shd w:val="clear" w:color="auto" w:fill="auto"/>
        <w:tabs>
          <w:tab w:pos="349" w:val="left"/>
        </w:tabs>
        <w:bidi w:val="0"/>
        <w:spacing w:before="0" w:after="0" w:line="240" w:lineRule="auto"/>
        <w:ind w:left="0" w:right="0" w:firstLine="0"/>
        <w:jc w:val="both"/>
      </w:pPr>
      <w:r>
        <w:rPr>
          <w:color w:val="000000"/>
          <w:spacing w:val="0"/>
          <w:w w:val="100"/>
          <w:position w:val="0"/>
          <w:shd w:val="clear" w:color="auto" w:fill="auto"/>
          <w:lang w:val="ru-RU" w:eastAsia="ru-RU" w:bidi="ru-RU"/>
        </w:rPr>
        <w:t>12 %;</w:t>
      </w:r>
    </w:p>
    <w:p>
      <w:pPr>
        <w:pStyle w:val="Style4"/>
        <w:keepNext w:val="0"/>
        <w:keepLines w:val="0"/>
        <w:widowControl w:val="0"/>
        <w:numPr>
          <w:ilvl w:val="0"/>
          <w:numId w:val="135"/>
        </w:numPr>
        <w:shd w:val="clear" w:color="auto" w:fill="auto"/>
        <w:tabs>
          <w:tab w:pos="349" w:val="left"/>
        </w:tabs>
        <w:bidi w:val="0"/>
        <w:spacing w:before="0" w:after="0" w:line="240" w:lineRule="auto"/>
        <w:ind w:left="0" w:right="0" w:firstLine="0"/>
        <w:jc w:val="both"/>
      </w:pPr>
      <w:r>
        <w:rPr>
          <w:color w:val="000000"/>
          <w:spacing w:val="0"/>
          <w:w w:val="100"/>
          <w:position w:val="0"/>
          <w:shd w:val="clear" w:color="auto" w:fill="auto"/>
          <w:lang w:val="ru-RU" w:eastAsia="ru-RU" w:bidi="ru-RU"/>
        </w:rPr>
        <w:t>14 %;</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-33 %;</w:t>
      </w:r>
    </w:p>
    <w:p>
      <w:pPr>
        <w:pStyle w:val="Style4"/>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-36%;</w:t>
      </w:r>
    </w:p>
    <w:p>
      <w:pPr>
        <w:pStyle w:val="Style4"/>
        <w:keepNext w:val="0"/>
        <w:keepLines w:val="0"/>
        <w:widowControl w:val="0"/>
        <w:shd w:val="clear" w:color="auto" w:fill="auto"/>
        <w:bidi w:val="0"/>
        <w:spacing w:before="0" w:after="0" w:line="240" w:lineRule="auto"/>
        <w:ind w:left="0" w:right="0" w:firstLine="0"/>
        <w:jc w:val="both"/>
        <w:sectPr>
          <w:footnotePr>
            <w:pos w:val="pageBottom"/>
            <w:numFmt w:val="decimal"/>
            <w:numRestart w:val="continuous"/>
          </w:footnotePr>
          <w:pgSz w:w="11900" w:h="16840"/>
          <w:pgMar w:top="1134" w:right="8356" w:bottom="875" w:left="1896" w:header="0" w:footer="447" w:gutter="0"/>
          <w:cols w:num="2" w:space="100"/>
          <w:noEndnote/>
          <w:rtlGutter w:val="0"/>
          <w:docGrid w:linePitch="360"/>
        </w:sectPr>
      </w:pPr>
      <w:r>
        <w:rPr>
          <w:color w:val="000000"/>
          <w:spacing w:val="0"/>
          <w:w w:val="100"/>
          <w:position w:val="0"/>
          <w:shd w:val="clear" w:color="auto" w:fill="auto"/>
          <w:lang w:val="ru-RU" w:eastAsia="ru-RU" w:bidi="ru-RU"/>
        </w:rPr>
        <w:t>-18%;</w:t>
      </w:r>
    </w:p>
    <w:p>
      <w:pPr>
        <w:pStyle w:val="Style4"/>
        <w:keepNext w:val="0"/>
        <w:keepLines w:val="0"/>
        <w:widowControl w:val="0"/>
        <w:numPr>
          <w:ilvl w:val="0"/>
          <w:numId w:val="137"/>
        </w:numPr>
        <w:shd w:val="clear" w:color="auto" w:fill="auto"/>
        <w:tabs>
          <w:tab w:pos="1066"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группа-23 %;</w:t>
      </w:r>
    </w:p>
    <w:p>
      <w:pPr>
        <w:pStyle w:val="Style4"/>
        <w:keepNext w:val="0"/>
        <w:keepLines w:val="0"/>
        <w:widowControl w:val="0"/>
        <w:numPr>
          <w:ilvl w:val="0"/>
          <w:numId w:val="137"/>
        </w:numPr>
        <w:shd w:val="clear" w:color="auto" w:fill="auto"/>
        <w:tabs>
          <w:tab w:pos="1090"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- 30 %;</w:t>
      </w:r>
    </w:p>
    <w:p>
      <w:pPr>
        <w:pStyle w:val="Style4"/>
        <w:keepNext w:val="0"/>
        <w:keepLines w:val="0"/>
        <w:widowControl w:val="0"/>
        <w:numPr>
          <w:ilvl w:val="0"/>
          <w:numId w:val="137"/>
        </w:numPr>
        <w:shd w:val="clear" w:color="auto" w:fill="auto"/>
        <w:tabs>
          <w:tab w:pos="1080"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- 24 %;</w:t>
      </w:r>
    </w:p>
    <w:p>
      <w:pPr>
        <w:pStyle w:val="Style4"/>
        <w:keepNext w:val="0"/>
        <w:keepLines w:val="0"/>
        <w:widowControl w:val="0"/>
        <w:numPr>
          <w:ilvl w:val="0"/>
          <w:numId w:val="137"/>
        </w:numPr>
        <w:shd w:val="clear" w:color="auto" w:fill="auto"/>
        <w:tabs>
          <w:tab w:pos="1094"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- 13 %;</w:t>
      </w:r>
    </w:p>
    <w:p>
      <w:pPr>
        <w:pStyle w:val="Style4"/>
        <w:keepNext w:val="0"/>
        <w:keepLines w:val="0"/>
        <w:widowControl w:val="0"/>
        <w:numPr>
          <w:ilvl w:val="0"/>
          <w:numId w:val="137"/>
        </w:numPr>
        <w:shd w:val="clear" w:color="auto" w:fill="auto"/>
        <w:tabs>
          <w:tab w:pos="1085"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- 36 %;</w:t>
      </w:r>
    </w:p>
    <w:p>
      <w:pPr>
        <w:pStyle w:val="Style4"/>
        <w:keepNext w:val="0"/>
        <w:keepLines w:val="0"/>
        <w:widowControl w:val="0"/>
        <w:numPr>
          <w:ilvl w:val="0"/>
          <w:numId w:val="137"/>
        </w:numPr>
        <w:shd w:val="clear" w:color="auto" w:fill="auto"/>
        <w:tabs>
          <w:tab w:pos="1090"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- 20 %;</w:t>
      </w:r>
    </w:p>
    <w:p>
      <w:pPr>
        <w:pStyle w:val="Style4"/>
        <w:keepNext w:val="0"/>
        <w:keepLines w:val="0"/>
        <w:widowControl w:val="0"/>
        <w:numPr>
          <w:ilvl w:val="0"/>
          <w:numId w:val="137"/>
        </w:numPr>
        <w:shd w:val="clear" w:color="auto" w:fill="auto"/>
        <w:tabs>
          <w:tab w:pos="1090"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- 36 %;</w:t>
      </w:r>
    </w:p>
    <w:p>
      <w:pPr>
        <w:pStyle w:val="Style4"/>
        <w:keepNext w:val="0"/>
        <w:keepLines w:val="0"/>
        <w:widowControl w:val="0"/>
        <w:numPr>
          <w:ilvl w:val="0"/>
          <w:numId w:val="137"/>
        </w:numPr>
        <w:shd w:val="clear" w:color="auto" w:fill="auto"/>
        <w:tabs>
          <w:tab w:pos="1085"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группа - 12 %.</w:t>
      </w:r>
    </w:p>
    <w:p>
      <w:pPr>
        <w:pStyle w:val="Style4"/>
        <w:keepNext w:val="0"/>
        <w:keepLines w:val="0"/>
        <w:widowControl w:val="0"/>
        <w:shd w:val="clear" w:color="auto" w:fill="auto"/>
        <w:bidi w:val="0"/>
        <w:spacing w:before="0" w:after="0" w:line="240" w:lineRule="auto"/>
        <w:ind w:left="0" w:right="0" w:firstLine="720"/>
        <w:jc w:val="both"/>
        <w:sectPr>
          <w:footnotePr>
            <w:pos w:val="pageBottom"/>
            <w:numFmt w:val="decimal"/>
            <w:numRestart w:val="continuous"/>
          </w:footnotePr>
          <w:pgSz w:w="11900" w:h="16840"/>
          <w:pgMar w:top="1134" w:right="797" w:bottom="1134" w:left="831" w:header="0" w:footer="706" w:gutter="0"/>
          <w:cols w:space="720"/>
          <w:noEndnote/>
          <w:rtlGutter w:val="0"/>
          <w:docGrid w:linePitch="360"/>
        </w:sectPr>
      </w:pPr>
      <w:r>
        <w:rPr>
          <w:color w:val="000000"/>
          <w:spacing w:val="0"/>
          <w:w w:val="100"/>
          <w:position w:val="0"/>
          <w:shd w:val="clear" w:color="auto" w:fill="auto"/>
          <w:vertAlign w:val="superscript"/>
          <w:lang w:val="ru-RU" w:eastAsia="ru-RU" w:bidi="ru-RU"/>
        </w:rPr>
        <w:t>3</w:t>
      </w:r>
      <w:r>
        <w:rPr>
          <w:color w:val="000000"/>
          <w:spacing w:val="0"/>
          <w:w w:val="100"/>
          <w:position w:val="0"/>
          <w:shd w:val="clear" w:color="auto" w:fill="auto"/>
          <w:lang w:val="ru-RU" w:eastAsia="ru-RU" w:bidi="ru-RU"/>
        </w:rPr>
        <w:t xml:space="preserve"> Нормативы финансовых затрат на единицу объема предоставления медицинской помощи приведены без учета районного коэффициента и других особенностей Омской области, на территории которой расположены медицинские организации, оказывающие ВМП,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pPr>
        <w:pStyle w:val="Style4"/>
        <w:keepNext w:val="0"/>
        <w:keepLines w:val="0"/>
        <w:widowControl w:val="0"/>
        <w:shd w:val="clear" w:color="auto" w:fill="auto"/>
        <w:bidi w:val="0"/>
        <w:spacing w:before="0" w:after="640" w:line="240" w:lineRule="auto"/>
        <w:ind w:left="4360" w:right="0" w:firstLine="0"/>
        <w:jc w:val="right"/>
      </w:pPr>
      <w:r>
        <w:rPr>
          <w:color w:val="000000"/>
          <w:spacing w:val="0"/>
          <w:w w:val="100"/>
          <w:position w:val="0"/>
          <w:shd w:val="clear" w:color="auto" w:fill="auto"/>
          <w:lang w:val="ru-RU" w:eastAsia="ru-RU" w:bidi="ru-RU"/>
        </w:rPr>
        <w:t>Приложение № 3 к Территориальной программе государственных гарантий бесплатного оказания гражданам медицинской помощи в Омской области на 2026 год и на плановый период 2027 и 2028 годов</w:t>
      </w:r>
    </w:p>
    <w:p>
      <w:pPr>
        <w:pStyle w:val="Style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ПЕРЕЧЕНЬ</w:t>
      </w:r>
    </w:p>
    <w:p>
      <w:pPr>
        <w:pStyle w:val="Style4"/>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ru-RU" w:eastAsia="ru-RU" w:bidi="ru-RU"/>
        </w:rPr>
        <w:t>исследований и иных медицинских вмешательств, проводимых в рамках</w:t>
        <w:br/>
        <w:t>углубленной диспансеризации</w:t>
      </w:r>
    </w:p>
    <w:p>
      <w:pPr>
        <w:pStyle w:val="Style4"/>
        <w:keepNext w:val="0"/>
        <w:keepLines w:val="0"/>
        <w:widowControl w:val="0"/>
        <w:numPr>
          <w:ilvl w:val="0"/>
          <w:numId w:val="139"/>
        </w:numPr>
        <w:shd w:val="clear" w:color="auto" w:fill="auto"/>
        <w:tabs>
          <w:tab w:pos="1873" w:val="left"/>
        </w:tabs>
        <w:bidi w:val="0"/>
        <w:spacing w:before="0" w:after="0" w:line="240" w:lineRule="auto"/>
        <w:ind w:left="840" w:right="0" w:firstLine="720"/>
        <w:jc w:val="both"/>
      </w:pPr>
      <w:r>
        <w:rPr>
          <w:color w:val="000000"/>
          <w:spacing w:val="0"/>
          <w:w w:val="100"/>
          <w:position w:val="0"/>
          <w:shd w:val="clear" w:color="auto" w:fill="auto"/>
          <w:lang w:val="ru-RU" w:eastAsia="ru-RU" w:bidi="ru-RU"/>
        </w:rPr>
        <w:t>Первый этап углубленной диспансеризации проводится в целях выявления у граждан, перенесших новую коронавирусную инфекцию (СОУШ-19),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 специалистами для уточнения диагноза заболевания (состояния) на втором этапе диспансеризации и включает в себя:</w:t>
      </w:r>
    </w:p>
    <w:p>
      <w:pPr>
        <w:pStyle w:val="Style4"/>
        <w:keepNext w:val="0"/>
        <w:keepLines w:val="0"/>
        <w:widowControl w:val="0"/>
        <w:numPr>
          <w:ilvl w:val="0"/>
          <w:numId w:val="139"/>
        </w:numPr>
        <w:shd w:val="clear" w:color="auto" w:fill="auto"/>
        <w:tabs>
          <w:tab w:pos="2535" w:val="left"/>
        </w:tabs>
        <w:bidi w:val="0"/>
        <w:spacing w:before="0" w:after="0" w:line="240" w:lineRule="auto"/>
        <w:ind w:left="840" w:right="0" w:firstLine="720"/>
        <w:jc w:val="both"/>
      </w:pPr>
      <w:r>
        <w:rPr>
          <w:color w:val="000000"/>
          <w:spacing w:val="0"/>
          <w:w w:val="100"/>
          <w:position w:val="0"/>
          <w:shd w:val="clear" w:color="auto" w:fill="auto"/>
          <w:lang w:val="ru-RU" w:eastAsia="ru-RU" w:bidi="ru-RU"/>
        </w:rPr>
        <w:t>измерение насыщения крови кислородом (сатурация) в покое;</w:t>
      </w:r>
    </w:p>
    <w:p>
      <w:pPr>
        <w:pStyle w:val="Style4"/>
        <w:keepNext w:val="0"/>
        <w:keepLines w:val="0"/>
        <w:widowControl w:val="0"/>
        <w:numPr>
          <w:ilvl w:val="0"/>
          <w:numId w:val="139"/>
        </w:numPr>
        <w:shd w:val="clear" w:color="auto" w:fill="auto"/>
        <w:tabs>
          <w:tab w:pos="1911" w:val="left"/>
        </w:tabs>
        <w:bidi w:val="0"/>
        <w:spacing w:before="0" w:after="0" w:line="240" w:lineRule="auto"/>
        <w:ind w:left="840" w:right="0" w:firstLine="720"/>
        <w:jc w:val="both"/>
      </w:pPr>
      <w:r>
        <w:rPr>
          <w:color w:val="000000"/>
          <w:spacing w:val="0"/>
          <w:w w:val="100"/>
          <w:position w:val="0"/>
          <w:shd w:val="clear" w:color="auto" w:fill="auto"/>
          <w:lang w:val="ru-RU" w:eastAsia="ru-RU" w:bidi="ru-RU"/>
        </w:rPr>
        <w:t>тест с 6-минутной ходьбой (при исходной сатурации кислорода крови 95 процентов и выше в сочетании с наличием у гражданина жалоб на одышку, отеки, которые появились впервые или интенсивность которых повысилась);</w:t>
      </w:r>
    </w:p>
    <w:p>
      <w:pPr>
        <w:pStyle w:val="Style4"/>
        <w:keepNext w:val="0"/>
        <w:keepLines w:val="0"/>
        <w:widowControl w:val="0"/>
        <w:numPr>
          <w:ilvl w:val="0"/>
          <w:numId w:val="139"/>
        </w:numPr>
        <w:shd w:val="clear" w:color="auto" w:fill="auto"/>
        <w:tabs>
          <w:tab w:pos="2535" w:val="left"/>
        </w:tabs>
        <w:bidi w:val="0"/>
        <w:spacing w:before="0" w:after="0" w:line="240" w:lineRule="auto"/>
        <w:ind w:left="1540" w:right="0" w:firstLine="0"/>
        <w:jc w:val="both"/>
      </w:pPr>
      <w:r>
        <w:rPr>
          <w:color w:val="000000"/>
          <w:spacing w:val="0"/>
          <w:w w:val="100"/>
          <w:position w:val="0"/>
          <w:shd w:val="clear" w:color="auto" w:fill="auto"/>
          <w:lang w:val="ru-RU" w:eastAsia="ru-RU" w:bidi="ru-RU"/>
        </w:rPr>
        <w:t>проведение спирометрии или спирографии;</w:t>
      </w:r>
    </w:p>
    <w:p>
      <w:pPr>
        <w:pStyle w:val="Style4"/>
        <w:keepNext w:val="0"/>
        <w:keepLines w:val="0"/>
        <w:widowControl w:val="0"/>
        <w:numPr>
          <w:ilvl w:val="0"/>
          <w:numId w:val="139"/>
        </w:numPr>
        <w:shd w:val="clear" w:color="auto" w:fill="auto"/>
        <w:tabs>
          <w:tab w:pos="2535" w:val="left"/>
        </w:tabs>
        <w:bidi w:val="0"/>
        <w:spacing w:before="0" w:after="0" w:line="240" w:lineRule="auto"/>
        <w:ind w:left="1540" w:right="0" w:firstLine="0"/>
        <w:jc w:val="both"/>
      </w:pPr>
      <w:r>
        <w:rPr>
          <w:color w:val="000000"/>
          <w:spacing w:val="0"/>
          <w:w w:val="100"/>
          <w:position w:val="0"/>
          <w:shd w:val="clear" w:color="auto" w:fill="auto"/>
          <w:lang w:val="ru-RU" w:eastAsia="ru-RU" w:bidi="ru-RU"/>
        </w:rPr>
        <w:t>общий (клинический) анализ крови развернутый;</w:t>
      </w:r>
    </w:p>
    <w:p>
      <w:pPr>
        <w:pStyle w:val="Style4"/>
        <w:keepNext w:val="0"/>
        <w:keepLines w:val="0"/>
        <w:widowControl w:val="0"/>
        <w:numPr>
          <w:ilvl w:val="0"/>
          <w:numId w:val="139"/>
        </w:numPr>
        <w:shd w:val="clear" w:color="auto" w:fill="auto"/>
        <w:tabs>
          <w:tab w:pos="1911" w:val="left"/>
        </w:tabs>
        <w:bidi w:val="0"/>
        <w:spacing w:before="0" w:after="0" w:line="240" w:lineRule="auto"/>
        <w:ind w:left="840" w:right="0" w:firstLine="720"/>
        <w:jc w:val="both"/>
      </w:pPr>
      <w:r>
        <w:rPr>
          <w:color w:val="000000"/>
          <w:spacing w:val="0"/>
          <w:w w:val="100"/>
          <w:position w:val="0"/>
          <w:shd w:val="clear" w:color="auto" w:fill="auto"/>
          <w:lang w:val="ru-RU" w:eastAsia="ru-RU" w:bidi="ru-RU"/>
        </w:rPr>
        <w:t>биохимический анализ крови (включая исследования уровня холестерина, уровня липопротеинов низкой плотности, С-реактивного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pPr>
        <w:pStyle w:val="Style4"/>
        <w:keepNext w:val="0"/>
        <w:keepLines w:val="0"/>
        <w:widowControl w:val="0"/>
        <w:numPr>
          <w:ilvl w:val="0"/>
          <w:numId w:val="139"/>
        </w:numPr>
        <w:shd w:val="clear" w:color="auto" w:fill="auto"/>
        <w:tabs>
          <w:tab w:pos="1906" w:val="left"/>
        </w:tabs>
        <w:bidi w:val="0"/>
        <w:spacing w:before="0" w:after="0" w:line="240" w:lineRule="auto"/>
        <w:ind w:left="840" w:right="0" w:firstLine="720"/>
        <w:jc w:val="both"/>
      </w:pPr>
      <w:r>
        <w:rPr>
          <w:color w:val="000000"/>
          <w:spacing w:val="0"/>
          <w:w w:val="100"/>
          <w:position w:val="0"/>
          <w:shd w:val="clear" w:color="auto" w:fill="auto"/>
          <w:lang w:val="ru-RU" w:eastAsia="ru-RU" w:bidi="ru-RU"/>
        </w:rPr>
        <w:t>определение концентрации Д-димера в крови у граждан, перенесших среднюю степень тяжести и выше новой коронавирусной инфекции (СОУЮ-19);</w:t>
      </w:r>
    </w:p>
    <w:p>
      <w:pPr>
        <w:pStyle w:val="Style4"/>
        <w:keepNext w:val="0"/>
        <w:keepLines w:val="0"/>
        <w:widowControl w:val="0"/>
        <w:numPr>
          <w:ilvl w:val="0"/>
          <w:numId w:val="139"/>
        </w:numPr>
        <w:shd w:val="clear" w:color="auto" w:fill="auto"/>
        <w:tabs>
          <w:tab w:pos="1906" w:val="left"/>
        </w:tabs>
        <w:bidi w:val="0"/>
        <w:spacing w:before="0" w:after="0" w:line="240" w:lineRule="auto"/>
        <w:ind w:left="840" w:right="0" w:firstLine="720"/>
        <w:jc w:val="both"/>
      </w:pPr>
      <w:r>
        <w:rPr>
          <w:color w:val="000000"/>
          <w:spacing w:val="0"/>
          <w:w w:val="100"/>
          <w:position w:val="0"/>
          <w:shd w:val="clear" w:color="auto" w:fill="auto"/>
          <w:lang w:val="ru-RU" w:eastAsia="ru-RU" w:bidi="ru-RU"/>
        </w:rPr>
        <w:t>проведение рентгенографии органов грудной клетки (если не выполнялась ранее в течение года);</w:t>
      </w:r>
    </w:p>
    <w:p>
      <w:pPr>
        <w:pStyle w:val="Style4"/>
        <w:keepNext w:val="0"/>
        <w:keepLines w:val="0"/>
        <w:widowControl w:val="0"/>
        <w:numPr>
          <w:ilvl w:val="0"/>
          <w:numId w:val="139"/>
        </w:numPr>
        <w:shd w:val="clear" w:color="auto" w:fill="auto"/>
        <w:tabs>
          <w:tab w:pos="1906" w:val="left"/>
        </w:tabs>
        <w:bidi w:val="0"/>
        <w:spacing w:before="0" w:after="0" w:line="240" w:lineRule="auto"/>
        <w:ind w:left="840" w:right="0" w:firstLine="720"/>
        <w:jc w:val="both"/>
      </w:pPr>
      <w:r>
        <w:rPr>
          <w:color w:val="000000"/>
          <w:spacing w:val="0"/>
          <w:w w:val="100"/>
          <w:position w:val="0"/>
          <w:shd w:val="clear" w:color="auto" w:fill="auto"/>
          <w:lang w:val="ru-RU" w:eastAsia="ru-RU" w:bidi="ru-RU"/>
        </w:rPr>
        <w:t>прием (осмотр) врачом-терапевтом (участковым терапевтом, врачом общей практики).</w:t>
      </w:r>
    </w:p>
    <w:p>
      <w:pPr>
        <w:pStyle w:val="Style4"/>
        <w:keepNext w:val="0"/>
        <w:keepLines w:val="0"/>
        <w:widowControl w:val="0"/>
        <w:shd w:val="clear" w:color="auto" w:fill="auto"/>
        <w:bidi w:val="0"/>
        <w:spacing w:before="0" w:after="0" w:line="240" w:lineRule="auto"/>
        <w:ind w:left="840" w:right="0" w:firstLine="720"/>
        <w:jc w:val="both"/>
      </w:pPr>
      <w:r>
        <w:rPr>
          <w:color w:val="000000"/>
          <w:spacing w:val="0"/>
          <w:w w:val="100"/>
          <w:position w:val="0"/>
          <w:shd w:val="clear" w:color="auto" w:fill="auto"/>
          <w:lang w:val="ru-RU" w:eastAsia="ru-RU" w:bidi="ru-RU"/>
        </w:rPr>
        <w:t>2. Второй этап углубленной диспансеризации проводится по результатам первого этапа углубленной диспансеризации в целях дополнительного обследования и уточнения диагноза заболевания (состояния) и включает в себя:</w:t>
      </w:r>
    </w:p>
    <w:p>
      <w:pPr>
        <w:pStyle w:val="Style4"/>
        <w:keepNext w:val="0"/>
        <w:keepLines w:val="0"/>
        <w:widowControl w:val="0"/>
        <w:numPr>
          <w:ilvl w:val="0"/>
          <w:numId w:val="141"/>
        </w:numPr>
        <w:shd w:val="clear" w:color="auto" w:fill="auto"/>
        <w:tabs>
          <w:tab w:pos="1911" w:val="left"/>
        </w:tabs>
        <w:bidi w:val="0"/>
        <w:spacing w:before="0" w:after="320" w:line="240" w:lineRule="auto"/>
        <w:ind w:left="840" w:right="0" w:firstLine="720"/>
        <w:jc w:val="both"/>
        <w:sectPr>
          <w:headerReference w:type="default" r:id="rId28"/>
          <w:footnotePr>
            <w:pos w:val="pageBottom"/>
            <w:numFmt w:val="decimal"/>
            <w:numRestart w:val="continuous"/>
          </w:footnotePr>
          <w:pgSz w:w="11900" w:h="16840"/>
          <w:pgMar w:top="1134" w:right="793" w:bottom="1201" w:left="836" w:header="706" w:footer="773" w:gutter="0"/>
          <w:pgNumType w:start="174"/>
          <w:cols w:space="720"/>
          <w:noEndnote/>
          <w:rtlGutter w:val="0"/>
          <w:docGrid w:linePitch="360"/>
        </w:sectPr>
      </w:pPr>
      <w:r>
        <w:rPr>
          <w:color w:val="000000"/>
          <w:spacing w:val="0"/>
          <w:w w:val="100"/>
          <w:position w:val="0"/>
          <w:shd w:val="clear" w:color="auto" w:fill="auto"/>
          <w:lang w:val="ru-RU" w:eastAsia="ru-RU" w:bidi="ru-RU"/>
        </w:rPr>
        <w:t>проведение эхокардиографии (в случае показателя сатурации в покое 94 процента и ниже, а также по результатам проведения теста с 6-минутной ходьбой);</w:t>
      </w:r>
    </w:p>
    <w:p>
      <w:pPr>
        <w:pStyle w:val="Style4"/>
        <w:keepNext w:val="0"/>
        <w:keepLines w:val="0"/>
        <w:widowControl w:val="0"/>
        <w:numPr>
          <w:ilvl w:val="0"/>
          <w:numId w:val="141"/>
        </w:numPr>
        <w:shd w:val="clear" w:color="auto" w:fill="auto"/>
        <w:tabs>
          <w:tab w:pos="1925" w:val="left"/>
        </w:tabs>
        <w:bidi w:val="0"/>
        <w:spacing w:before="0" w:after="0" w:line="240" w:lineRule="auto"/>
        <w:ind w:left="840" w:right="0" w:firstLine="700"/>
        <w:jc w:val="both"/>
      </w:pPr>
      <w:r>
        <w:rPr>
          <w:color w:val="000000"/>
          <w:spacing w:val="0"/>
          <w:w w:val="100"/>
          <w:position w:val="0"/>
          <w:shd w:val="clear" w:color="auto" w:fill="auto"/>
          <w:lang w:val="ru-RU" w:eastAsia="ru-RU" w:bidi="ru-RU"/>
        </w:rPr>
        <w:t>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pPr>
        <w:pStyle w:val="Style4"/>
        <w:keepNext w:val="0"/>
        <w:keepLines w:val="0"/>
        <w:widowControl w:val="0"/>
        <w:numPr>
          <w:ilvl w:val="0"/>
          <w:numId w:val="141"/>
        </w:numPr>
        <w:shd w:val="clear" w:color="auto" w:fill="auto"/>
        <w:tabs>
          <w:tab w:pos="1920" w:val="left"/>
        </w:tabs>
        <w:bidi w:val="0"/>
        <w:spacing w:before="0" w:after="0" w:line="240" w:lineRule="auto"/>
        <w:ind w:left="840" w:right="0" w:firstLine="700"/>
        <w:jc w:val="both"/>
        <w:sectPr>
          <w:headerReference w:type="default" r:id="rId29"/>
          <w:footnotePr>
            <w:pos w:val="pageBottom"/>
            <w:numFmt w:val="decimal"/>
            <w:numRestart w:val="continuous"/>
          </w:footnotePr>
          <w:pgSz w:w="11900" w:h="16840"/>
          <w:pgMar w:top="1134" w:right="793" w:bottom="1201" w:left="836" w:header="0" w:footer="773" w:gutter="0"/>
          <w:pgNumType w:start="2"/>
          <w:cols w:space="720"/>
          <w:noEndnote/>
          <w:rtlGutter w:val="0"/>
          <w:docGrid w:linePitch="360"/>
        </w:sectPr>
      </w:pPr>
      <w:r>
        <w:rPr>
          <w:color w:val="000000"/>
          <w:spacing w:val="0"/>
          <w:w w:val="100"/>
          <w:position w:val="0"/>
          <w:shd w:val="clear" w:color="auto" w:fill="auto"/>
          <w:lang w:val="ru-RU" w:eastAsia="ru-RU" w:bidi="ru-RU"/>
        </w:rPr>
        <w:t>дуплексное сканирование вен нижних конечностей (при наличии показаний по результатам определения концентрации Д-димера в крови).</w:t>
      </w:r>
    </w:p>
    <w:p>
      <w:pPr>
        <w:pStyle w:val="Style4"/>
        <w:keepNext w:val="0"/>
        <w:keepLines w:val="0"/>
        <w:widowControl w:val="0"/>
        <w:shd w:val="clear" w:color="auto" w:fill="auto"/>
        <w:bidi w:val="0"/>
        <w:spacing w:before="0" w:after="640" w:line="240" w:lineRule="auto"/>
        <w:ind w:left="9420" w:right="0" w:firstLine="0"/>
        <w:jc w:val="right"/>
      </w:pPr>
      <w:r>
        <w:rPr>
          <w:color w:val="000000"/>
          <w:spacing w:val="0"/>
          <w:w w:val="100"/>
          <w:position w:val="0"/>
          <w:shd w:val="clear" w:color="auto" w:fill="auto"/>
          <w:lang w:val="ru-RU" w:eastAsia="ru-RU" w:bidi="ru-RU"/>
        </w:rPr>
        <w:t>Приложение № 4 к Территориальной программе государственных гарантий бесплатного оказания гражданам медицинской помощи в Омской области на 2026 год и на плановый период 2027 и 2028 годов</w:t>
      </w:r>
    </w:p>
    <w:p>
      <w:pPr>
        <w:pStyle w:val="Style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НОРМАТИВЫ</w:t>
      </w:r>
    </w:p>
    <w:p>
      <w:pPr>
        <w:pStyle w:val="Style4"/>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ru-RU" w:eastAsia="ru-RU" w:bidi="ru-RU"/>
        </w:rPr>
        <w:t>объема оказания и нормативы финансовых затрат на единицу объема медицинской помощи на 2026 - 2028 годы</w:t>
      </w:r>
    </w:p>
    <w:tbl>
      <w:tblPr>
        <w:tblOverlap w:val="never"/>
        <w:jc w:val="center"/>
        <w:tblLayout w:type="fixed"/>
      </w:tblPr>
      <w:tblGrid>
        <w:gridCol w:w="2698"/>
        <w:gridCol w:w="1133"/>
        <w:gridCol w:w="1704"/>
        <w:gridCol w:w="1699"/>
        <w:gridCol w:w="1699"/>
        <w:gridCol w:w="1560"/>
        <w:gridCol w:w="1421"/>
        <w:gridCol w:w="1699"/>
        <w:gridCol w:w="1709"/>
      </w:tblGrid>
      <w:tr>
        <w:trPr>
          <w:trHeight w:val="355"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Виды и условия оказания медицинской помощи</w:t>
            </w:r>
            <w:r>
              <w:rPr>
                <w:color w:val="000000"/>
                <w:spacing w:val="0"/>
                <w:w w:val="100"/>
                <w:position w:val="0"/>
                <w:sz w:val="20"/>
                <w:szCs w:val="20"/>
                <w:shd w:val="clear" w:color="auto" w:fill="auto"/>
                <w:vertAlign w:val="superscript"/>
                <w:lang w:val="ru-RU" w:eastAsia="ru-RU" w:bidi="ru-RU"/>
              </w:rPr>
              <w:t>1</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Номер строки</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Единица измерения</w:t>
            </w:r>
          </w:p>
        </w:tc>
        <w:tc>
          <w:tcPr>
            <w:gridSpan w:val="2"/>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2026 год</w:t>
            </w:r>
          </w:p>
        </w:tc>
        <w:tc>
          <w:tcPr>
            <w:gridSpan w:val="2"/>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2027 год</w:t>
            </w:r>
          </w:p>
        </w:tc>
        <w:tc>
          <w:tcPr>
            <w:gridSpan w:val="2"/>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2028 год</w:t>
            </w:r>
          </w:p>
        </w:tc>
      </w:tr>
      <w:tr>
        <w:trPr>
          <w:trHeight w:val="201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Норматив объема медицинской помощи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Норматив финансовых затрат на единицу объема медицинской помощи (руб.)</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Норматив объема медицинской помощи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Норматив финансовых затрат на единицу объема медицинской помощи (руб.)</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Норматив объема медицинской помощи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Норматив финансовых затрат на единицу объема медицинской помощи (руб.)</w:t>
            </w:r>
          </w:p>
        </w:tc>
      </w:tr>
      <w:tr>
        <w:trPr>
          <w:trHeight w:val="240"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r>
      <w:tr>
        <w:trPr>
          <w:trHeight w:val="240" w:hRule="exact"/>
        </w:trPr>
        <w:tc>
          <w:tcPr>
            <w:gridSpan w:val="9"/>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За счет бюджетных ассигнований областного бюджета</w:t>
            </w:r>
            <w:r>
              <w:rPr>
                <w:color w:val="000000"/>
                <w:spacing w:val="0"/>
                <w:w w:val="100"/>
                <w:position w:val="0"/>
                <w:sz w:val="20"/>
                <w:szCs w:val="20"/>
                <w:shd w:val="clear" w:color="auto" w:fill="auto"/>
                <w:vertAlign w:val="superscript"/>
                <w:lang w:val="ru-RU" w:eastAsia="ru-RU" w:bidi="ru-RU"/>
              </w:rPr>
              <w:t>1</w:t>
            </w:r>
          </w:p>
        </w:tc>
      </w:tr>
      <w:tr>
        <w:trPr>
          <w:trHeight w:val="93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1. Скорая, в том числе скорая специализированная, медицинская помощь ,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вызовов</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29 379,1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29 379,1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0,003</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29 379,1</w:t>
            </w:r>
          </w:p>
        </w:tc>
      </w:tr>
      <w:tr>
        <w:trPr>
          <w:trHeight w:val="46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Медицинские организации (далее - МО) 1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вызовов</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2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1.2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вызовов</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0,002</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3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вызовов</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0,001</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 Первичная медико- санитарная помощь в амбулаторных условиях:</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6"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2.1. С профилактической целью и иными целями, за исключением медицинской</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2.1</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0,694605</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747,20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0,6946</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800,46</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0,6946</w:t>
            </w:r>
          </w:p>
        </w:tc>
        <w:tc>
          <w:tcPr>
            <w:tcBorders>
              <w:top w:val="single" w:sz="4"/>
              <w:left w:val="single" w:sz="4"/>
              <w:bottom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853,28</w:t>
            </w:r>
          </w:p>
        </w:tc>
      </w:tr>
    </w:tbl>
    <w:p>
      <w:pPr>
        <w:sectPr>
          <w:headerReference w:type="default" r:id="rId30"/>
          <w:footnotePr>
            <w:pos w:val="pageBottom"/>
            <w:numFmt w:val="decimal"/>
            <w:numRestart w:val="continuous"/>
          </w:footnotePr>
          <w:pgSz w:w="16840" w:h="11900" w:orient="landscape"/>
          <w:pgMar w:top="1123" w:right="499" w:bottom="1015" w:left="818" w:header="695" w:footer="587" w:gutter="0"/>
          <w:pgNumType w:start="176"/>
          <w:cols w:space="720"/>
          <w:noEndnote/>
          <w:rtlGutter w:val="0"/>
          <w:docGrid w:linePitch="360"/>
        </w:sectPr>
      </w:pPr>
    </w:p>
    <w:tbl>
      <w:tblPr>
        <w:tblOverlap w:val="never"/>
        <w:jc w:val="center"/>
        <w:tblLayout w:type="fixed"/>
      </w:tblPr>
      <w:tblGrid>
        <w:gridCol w:w="2698"/>
        <w:gridCol w:w="1133"/>
        <w:gridCol w:w="1704"/>
        <w:gridCol w:w="1699"/>
        <w:gridCol w:w="1699"/>
        <w:gridCol w:w="1560"/>
        <w:gridCol w:w="1421"/>
        <w:gridCol w:w="1699"/>
        <w:gridCol w:w="1709"/>
      </w:tblGrid>
      <w:tr>
        <w:trPr>
          <w:trHeight w:val="24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реабилитации и паллиативной медицинской помощи</w:t>
            </w:r>
            <w:r>
              <w:rPr>
                <w:color w:val="000000"/>
                <w:spacing w:val="0"/>
                <w:w w:val="100"/>
                <w:position w:val="0"/>
                <w:sz w:val="20"/>
                <w:szCs w:val="20"/>
                <w:shd w:val="clear" w:color="auto" w:fill="auto"/>
                <w:vertAlign w:val="superscript"/>
                <w:lang w:val="ru-RU" w:eastAsia="ru-RU" w:bidi="ru-RU"/>
              </w:rPr>
              <w:t>3</w:t>
            </w:r>
            <w:r>
              <w:rPr>
                <w:color w:val="000000"/>
                <w:spacing w:val="0"/>
                <w:w w:val="100"/>
                <w:position w:val="0"/>
                <w:sz w:val="20"/>
                <w:szCs w:val="20"/>
                <w:shd w:val="clear" w:color="auto" w:fill="auto"/>
                <w:lang w:val="ru-RU" w:eastAsia="ru-RU" w:bidi="ru-RU"/>
              </w:rPr>
              <w:t>, в том числе</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1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40"/>
              <w:jc w:val="left"/>
              <w:rPr>
                <w:sz w:val="20"/>
                <w:szCs w:val="20"/>
              </w:rPr>
            </w:pPr>
            <w:r>
              <w:rPr>
                <w:color w:val="000000"/>
                <w:spacing w:val="0"/>
                <w:w w:val="100"/>
                <w:position w:val="0"/>
                <w:sz w:val="20"/>
                <w:szCs w:val="20"/>
                <w:shd w:val="clear" w:color="auto" w:fill="auto"/>
                <w:lang w:val="ru-RU" w:eastAsia="ru-RU" w:bidi="ru-RU"/>
              </w:rPr>
              <w:t>2.1.1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0,22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0,22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0,22</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2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40"/>
              <w:jc w:val="left"/>
              <w:rPr>
                <w:sz w:val="20"/>
                <w:szCs w:val="20"/>
              </w:rPr>
            </w:pPr>
            <w:r>
              <w:rPr>
                <w:color w:val="000000"/>
                <w:spacing w:val="0"/>
                <w:w w:val="100"/>
                <w:position w:val="0"/>
                <w:sz w:val="20"/>
                <w:szCs w:val="20"/>
                <w:shd w:val="clear" w:color="auto" w:fill="auto"/>
                <w:lang w:val="ru-RU" w:eastAsia="ru-RU" w:bidi="ru-RU"/>
              </w:rPr>
              <w:t>2.1.2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0,344605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0,3446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0,3446</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3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40"/>
              <w:jc w:val="left"/>
              <w:rPr>
                <w:sz w:val="20"/>
                <w:szCs w:val="20"/>
              </w:rPr>
            </w:pPr>
            <w:r>
              <w:rPr>
                <w:color w:val="000000"/>
                <w:spacing w:val="0"/>
                <w:w w:val="100"/>
                <w:position w:val="0"/>
                <w:sz w:val="20"/>
                <w:szCs w:val="20"/>
                <w:shd w:val="clear" w:color="auto" w:fill="auto"/>
                <w:lang w:val="ru-RU" w:eastAsia="ru-RU" w:bidi="ru-RU"/>
              </w:rPr>
              <w:t>2.1.3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0,13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0,13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0,13</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2.2. В связи с заболеваниями</w:t>
            </w:r>
            <w:r>
              <w:rPr>
                <w:color w:val="000000"/>
                <w:spacing w:val="0"/>
                <w:w w:val="100"/>
                <w:position w:val="0"/>
                <w:sz w:val="20"/>
                <w:szCs w:val="20"/>
                <w:shd w:val="clear" w:color="auto" w:fill="auto"/>
                <w:vertAlign w:val="superscript"/>
                <w:lang w:val="ru-RU" w:eastAsia="ru-RU" w:bidi="ru-RU"/>
              </w:rPr>
              <w:t>4</w:t>
            </w:r>
            <w:r>
              <w:rPr>
                <w:color w:val="000000"/>
                <w:spacing w:val="0"/>
                <w:w w:val="100"/>
                <w:position w:val="0"/>
                <w:sz w:val="20"/>
                <w:szCs w:val="20"/>
                <w:shd w:val="clear" w:color="auto" w:fill="auto"/>
                <w:lang w:val="ru-RU" w:eastAsia="ru-RU" w:bidi="ru-RU"/>
              </w:rPr>
              <w:t>,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2.2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обращений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0,143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2 342,82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0,1425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2 518,41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0,1425</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2 684,49</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1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40"/>
              <w:jc w:val="left"/>
              <w:rPr>
                <w:sz w:val="20"/>
                <w:szCs w:val="20"/>
              </w:rPr>
            </w:pPr>
            <w:r>
              <w:rPr>
                <w:color w:val="000000"/>
                <w:spacing w:val="0"/>
                <w:w w:val="100"/>
                <w:position w:val="0"/>
                <w:sz w:val="20"/>
                <w:szCs w:val="20"/>
                <w:shd w:val="clear" w:color="auto" w:fill="auto"/>
                <w:lang w:val="ru-RU" w:eastAsia="ru-RU" w:bidi="ru-RU"/>
              </w:rPr>
              <w:t>2.2.1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обращений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0,033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0,0325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0,0325</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2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40"/>
              <w:jc w:val="left"/>
              <w:rPr>
                <w:sz w:val="20"/>
                <w:szCs w:val="20"/>
              </w:rPr>
            </w:pPr>
            <w:r>
              <w:rPr>
                <w:color w:val="000000"/>
                <w:spacing w:val="0"/>
                <w:w w:val="100"/>
                <w:position w:val="0"/>
                <w:sz w:val="20"/>
                <w:szCs w:val="20"/>
                <w:shd w:val="clear" w:color="auto" w:fill="auto"/>
                <w:lang w:val="ru-RU" w:eastAsia="ru-RU" w:bidi="ru-RU"/>
              </w:rPr>
              <w:t>2.2.2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обращений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0,04</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3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40"/>
              <w:jc w:val="left"/>
              <w:rPr>
                <w:sz w:val="20"/>
                <w:szCs w:val="20"/>
              </w:rPr>
            </w:pPr>
            <w:r>
              <w:rPr>
                <w:color w:val="000000"/>
                <w:spacing w:val="0"/>
                <w:w w:val="100"/>
                <w:position w:val="0"/>
                <w:sz w:val="20"/>
                <w:szCs w:val="20"/>
                <w:shd w:val="clear" w:color="auto" w:fill="auto"/>
                <w:lang w:val="ru-RU" w:eastAsia="ru-RU" w:bidi="ru-RU"/>
              </w:rPr>
              <w:t>2.2.3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обращений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0,07</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309"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3. Первичная медико- 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w:t>
            </w:r>
            <w:r>
              <w:rPr>
                <w:color w:val="000000"/>
                <w:spacing w:val="0"/>
                <w:w w:val="100"/>
                <w:position w:val="0"/>
                <w:sz w:val="20"/>
                <w:szCs w:val="20"/>
                <w:shd w:val="clear" w:color="auto" w:fill="auto"/>
                <w:vertAlign w:val="superscript"/>
                <w:lang w:val="ru-RU" w:eastAsia="ru-RU" w:bidi="ru-RU"/>
              </w:rPr>
              <w:t>5</w:t>
            </w:r>
            <w:r>
              <w:rPr>
                <w:color w:val="000000"/>
                <w:spacing w:val="0"/>
                <w:w w:val="100"/>
                <w:position w:val="0"/>
                <w:sz w:val="20"/>
                <w:szCs w:val="20"/>
                <w:shd w:val="clear" w:color="auto" w:fill="auto"/>
                <w:lang w:val="ru-RU" w:eastAsia="ru-RU" w:bidi="ru-RU"/>
              </w:rPr>
              <w:t>,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0,003933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23 347,43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0,00393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25 021,40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0,00393</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26 666,19</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1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3.1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2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3.2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0,001933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0,00193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0,00193</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3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3.3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0,002</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3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 Специализированная, в том числе</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высокотехнологичная, медицинская помощь в условиях круглосуточного стационара, за исключением медицинской реабилитации и паллиативной медицинской помощи,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0,013545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143 968,13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0,01354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154 157,33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0,01354</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164 222,23</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1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4.1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0,002</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66"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2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4.2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0,009545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0,00954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0,00954</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80" w:hRule="exact"/>
        </w:trPr>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3 уровня</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4.3</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0,002</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0,002</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0,002</w:t>
            </w:r>
          </w:p>
        </w:tc>
        <w:tc>
          <w:tcPr>
            <w:tcBorders>
              <w:top w:val="single" w:sz="4"/>
              <w:left w:val="single" w:sz="4"/>
              <w:bottom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bl>
    <w:p>
      <w:pPr>
        <w:spacing w:lineRule="exact" w:line="1"/>
        <w:rPr>
          <w:sz w:val="2"/>
          <w:szCs w:val="2"/>
        </w:rPr>
      </w:pPr>
      <w:r>
        <w:br w:type="page"/>
      </w:r>
    </w:p>
    <w:tbl>
      <w:tblPr>
        <w:tblOverlap w:val="never"/>
        <w:jc w:val="center"/>
        <w:tblLayout w:type="fixed"/>
      </w:tblPr>
      <w:tblGrid>
        <w:gridCol w:w="2698"/>
        <w:gridCol w:w="1133"/>
        <w:gridCol w:w="1704"/>
        <w:gridCol w:w="1699"/>
        <w:gridCol w:w="1699"/>
        <w:gridCol w:w="1560"/>
        <w:gridCol w:w="1421"/>
        <w:gridCol w:w="1699"/>
        <w:gridCol w:w="1709"/>
      </w:tblGrid>
      <w:tr>
        <w:trPr>
          <w:trHeight w:val="24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r>
      <w:tr>
        <w:trPr>
          <w:trHeight w:val="47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5. Медицинская реабилитация</w:t>
            </w:r>
            <w:r>
              <w:rPr>
                <w:color w:val="000000"/>
                <w:spacing w:val="0"/>
                <w:w w:val="100"/>
                <w:position w:val="0"/>
                <w:sz w:val="20"/>
                <w:szCs w:val="20"/>
                <w:shd w:val="clear" w:color="auto" w:fill="auto"/>
                <w:vertAlign w:val="superscript"/>
                <w:lang w:val="ru-RU" w:eastAsia="ru-RU" w:bidi="ru-RU"/>
              </w:rPr>
              <w:t>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6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5.1. В амбулаторных условиях,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5.1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0,000395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6 654,20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7 182,50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0,0004</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7 679,75</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1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5.1.1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2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5.1.2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0,000395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0,000395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0,000395</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3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5.1.3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5.2. В условиях дневных стационаров</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5.2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0,000047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23 933,42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0,00005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24 089,00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0,00005</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27 404,00</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1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5.2.1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2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5.2.2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0,000047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0,000047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0,000047</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3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5.2.3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5.3. В условиях</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круглосуточного стационара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5.3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0,000055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152 271,21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0,000058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163 654,26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0,00006</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174 774,20</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1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5.3.1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2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5.3.2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0,000055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0,000055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0,000055</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3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5.3.3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157"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6. Паллиативная медицинская помощь (доврачебная и врачебная), включая оказываемую ветеранам боевых действий</w:t>
            </w:r>
            <w:r>
              <w:rPr>
                <w:color w:val="000000"/>
                <w:spacing w:val="0"/>
                <w:w w:val="100"/>
                <w:position w:val="0"/>
                <w:sz w:val="20"/>
                <w:szCs w:val="20"/>
                <w:shd w:val="clear" w:color="auto" w:fill="auto"/>
                <w:vertAlign w:val="superscript"/>
                <w:lang w:val="ru-RU" w:eastAsia="ru-RU" w:bidi="ru-RU"/>
              </w:rPr>
              <w:t>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9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6.1. Паллиативная медицинская помощь в амбулаторных условиях, всего,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6.1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1 450,87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1 554,40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0,03</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1 656,40</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1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6.1.1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0,017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0,017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0,017</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2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6.1.2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0,013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0,013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0,013</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3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6.1.3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171"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6.1.1. Посещения, включая посещения на дому (без учета посещений на дому выездными патронажными бригадами)</w:t>
            </w:r>
            <w:r>
              <w:rPr>
                <w:color w:val="000000"/>
                <w:spacing w:val="0"/>
                <w:w w:val="100"/>
                <w:position w:val="0"/>
                <w:sz w:val="20"/>
                <w:szCs w:val="20"/>
                <w:shd w:val="clear" w:color="auto" w:fill="auto"/>
                <w:vertAlign w:val="superscript"/>
                <w:lang w:val="ru-RU" w:eastAsia="ru-RU" w:bidi="ru-RU"/>
              </w:rPr>
              <w:t>7</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6.1.4</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0,022</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705,54</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0,022</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755,71</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0,022</w:t>
            </w:r>
          </w:p>
        </w:tc>
        <w:tc>
          <w:tcPr>
            <w:tcBorders>
              <w:top w:val="single" w:sz="4"/>
              <w:left w:val="single" w:sz="4"/>
              <w:bottom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805,55</w:t>
            </w:r>
          </w:p>
        </w:tc>
      </w:tr>
    </w:tbl>
    <w:p>
      <w:pPr>
        <w:spacing w:lineRule="exact" w:line="1"/>
        <w:rPr>
          <w:sz w:val="2"/>
          <w:szCs w:val="2"/>
        </w:rPr>
      </w:pPr>
      <w:r>
        <w:br w:type="page"/>
      </w:r>
    </w:p>
    <w:tbl>
      <w:tblPr>
        <w:tblOverlap w:val="never"/>
        <w:jc w:val="center"/>
        <w:tblLayout w:type="fixed"/>
      </w:tblPr>
      <w:tblGrid>
        <w:gridCol w:w="2698"/>
        <w:gridCol w:w="1138"/>
        <w:gridCol w:w="1699"/>
        <w:gridCol w:w="1699"/>
        <w:gridCol w:w="1699"/>
        <w:gridCol w:w="1560"/>
        <w:gridCol w:w="1421"/>
        <w:gridCol w:w="1699"/>
        <w:gridCol w:w="1709"/>
      </w:tblGrid>
      <w:tr>
        <w:trPr>
          <w:trHeight w:val="24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6.1.2. Посещения на дому выездными патронажными бригадами,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6.1.5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3 500,53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3 749,71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0,008</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4 017,67</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для детского населения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6.1.6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0,000604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3 500,53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0,00065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3 749,71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0,00065</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4 017,67</w:t>
            </w:r>
          </w:p>
        </w:tc>
      </w:tr>
      <w:tr>
        <w:trPr>
          <w:trHeight w:val="1853"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6.2. Паллиативная медицинская помощь в стационарных условиях (включая оказываемую на койках паллиативной медицинской помощи и койках сестринского ухода)</w:t>
            </w:r>
            <w:r>
              <w:rPr>
                <w:color w:val="000000"/>
                <w:spacing w:val="0"/>
                <w:w w:val="100"/>
                <w:position w:val="0"/>
                <w:sz w:val="20"/>
                <w:szCs w:val="20"/>
                <w:shd w:val="clear" w:color="auto" w:fill="auto"/>
                <w:vertAlign w:val="superscript"/>
                <w:lang w:val="ru-RU" w:eastAsia="ru-RU" w:bidi="ru-RU"/>
              </w:rPr>
              <w:t>8</w:t>
            </w:r>
            <w:r>
              <w:rPr>
                <w:color w:val="000000"/>
                <w:spacing w:val="0"/>
                <w:w w:val="100"/>
                <w:position w:val="0"/>
                <w:sz w:val="20"/>
                <w:szCs w:val="20"/>
                <w:shd w:val="clear" w:color="auto" w:fill="auto"/>
                <w:lang w:val="ru-RU" w:eastAsia="ru-RU" w:bidi="ru-RU"/>
              </w:rPr>
              <w:t>,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6.2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койко-дней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0,092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4 133,69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0,092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4418,12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0,092</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4 700,78</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1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6.2.1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койко-дней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0,04</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2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6.2.2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койко-дней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0,048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0,048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0,048</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3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6.2.3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койко-дней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0,004</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для детского населения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6.2.4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койко-дней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0,004108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4 156,46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0,00425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4 442,43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0,00425</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4 726,86</w:t>
            </w:r>
          </w:p>
        </w:tc>
      </w:tr>
      <w:tr>
        <w:trPr>
          <w:trHeight w:val="240" w:hRule="exact"/>
        </w:trPr>
        <w:tc>
          <w:tcPr>
            <w:gridSpan w:val="2"/>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right"/>
              <w:rPr>
                <w:sz w:val="20"/>
                <w:szCs w:val="20"/>
              </w:rPr>
            </w:pPr>
            <w:r>
              <w:rPr>
                <w:color w:val="000000"/>
                <w:spacing w:val="0"/>
                <w:w w:val="100"/>
                <w:position w:val="0"/>
                <w:sz w:val="20"/>
                <w:szCs w:val="20"/>
                <w:shd w:val="clear" w:color="auto" w:fill="auto"/>
                <w:lang w:val="ru-RU" w:eastAsia="ru-RU" w:bidi="ru-RU"/>
              </w:rPr>
              <w:t>II. В</w:t>
            </w:r>
          </w:p>
        </w:tc>
        <w:tc>
          <w:tcPr>
            <w:gridSpan w:val="7"/>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замках территориальной программы обязательного медицинского страхования (далее - ОМС)</w:t>
            </w:r>
          </w:p>
        </w:tc>
      </w:tr>
      <w:tr>
        <w:trPr>
          <w:trHeight w:val="92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1. Скорая, в том числе скорая специализированная, медицинская помощь,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вызовов</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0,261000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5 635,94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0,261000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6 045,68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0,261000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6 452,10</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1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7.1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вызовов</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0,251140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0,251140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0,251140</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2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7.2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вызовов</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0,003480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0,003480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0,003480</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3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7.3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вызовов</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0,006380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0,006380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0,006380</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16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 Первичная медико- санитарная помощь в амбулаторных условиях, за исключением медицинской реабилитации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2.1. Проведение профилактических медицинских осмотров</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8.1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0,260168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2 885,27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0,260168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3 091,57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0,260168</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3 296,33</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1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8.1.1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0,166017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0,166017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0,166017</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2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8.1.2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0,058961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0,058961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0,058961</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3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8.1.3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0,035190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0,035190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0,035190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80"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2.2. Проведение диспансеризации</w:t>
            </w:r>
            <w:r>
              <w:rPr>
                <w:color w:val="000000"/>
                <w:spacing w:val="0"/>
                <w:w w:val="100"/>
                <w:position w:val="0"/>
                <w:sz w:val="20"/>
                <w:szCs w:val="20"/>
                <w:shd w:val="clear" w:color="auto" w:fill="auto"/>
                <w:vertAlign w:val="superscript"/>
                <w:lang w:val="ru-RU" w:eastAsia="ru-RU" w:bidi="ru-RU"/>
              </w:rPr>
              <w:t>8</w:t>
            </w:r>
            <w:r>
              <w:rPr>
                <w:color w:val="000000"/>
                <w:spacing w:val="0"/>
                <w:w w:val="100"/>
                <w:position w:val="0"/>
                <w:sz w:val="20"/>
                <w:szCs w:val="20"/>
                <w:shd w:val="clear" w:color="auto" w:fill="auto"/>
                <w:lang w:val="ru-RU" w:eastAsia="ru-RU" w:bidi="ru-RU"/>
              </w:rPr>
              <w:t>, в том</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8.2</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0,439948</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3 450,92</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0,439948</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3 697,77</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0,439948</w:t>
            </w:r>
          </w:p>
        </w:tc>
        <w:tc>
          <w:tcPr>
            <w:tcBorders>
              <w:top w:val="single" w:sz="4"/>
              <w:left w:val="single" w:sz="4"/>
              <w:bottom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3 942,75</w:t>
            </w:r>
          </w:p>
        </w:tc>
      </w:tr>
    </w:tbl>
    <w:p>
      <w:pPr>
        <w:spacing w:lineRule="exact" w:line="1"/>
        <w:rPr>
          <w:sz w:val="2"/>
          <w:szCs w:val="2"/>
        </w:rPr>
      </w:pPr>
      <w:r>
        <w:br w:type="page"/>
      </w:r>
    </w:p>
    <w:tbl>
      <w:tblPr>
        <w:tblOverlap w:val="never"/>
        <w:jc w:val="center"/>
        <w:tblLayout w:type="fixed"/>
      </w:tblPr>
      <w:tblGrid>
        <w:gridCol w:w="2698"/>
        <w:gridCol w:w="1133"/>
        <w:gridCol w:w="1704"/>
        <w:gridCol w:w="1699"/>
        <w:gridCol w:w="1699"/>
        <w:gridCol w:w="1560"/>
        <w:gridCol w:w="1421"/>
        <w:gridCol w:w="1699"/>
        <w:gridCol w:w="1709"/>
      </w:tblGrid>
      <w:tr>
        <w:trPr>
          <w:trHeight w:val="24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числе</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75"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1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8.2.1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both"/>
              <w:rPr>
                <w:sz w:val="20"/>
                <w:szCs w:val="20"/>
              </w:rPr>
            </w:pPr>
            <w:r>
              <w:rPr>
                <w:color w:val="000000"/>
                <w:spacing w:val="0"/>
                <w:w w:val="100"/>
                <w:position w:val="0"/>
                <w:sz w:val="20"/>
                <w:szCs w:val="20"/>
                <w:shd w:val="clear" w:color="auto" w:fill="auto"/>
                <w:lang w:val="ru-RU" w:eastAsia="ru-RU" w:bidi="ru-RU"/>
              </w:rPr>
              <w:t>0,262969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0,262969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0,262969</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66"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2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8.2.2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both"/>
              <w:rPr>
                <w:sz w:val="20"/>
                <w:szCs w:val="20"/>
              </w:rPr>
            </w:pPr>
            <w:r>
              <w:rPr>
                <w:color w:val="000000"/>
                <w:spacing w:val="0"/>
                <w:w w:val="100"/>
                <w:position w:val="0"/>
                <w:sz w:val="20"/>
                <w:szCs w:val="20"/>
                <w:shd w:val="clear" w:color="auto" w:fill="auto"/>
                <w:lang w:val="ru-RU" w:eastAsia="ru-RU" w:bidi="ru-RU"/>
              </w:rPr>
              <w:t>0,098283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0,098283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0,098283</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3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8.2.3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both"/>
              <w:rPr>
                <w:sz w:val="20"/>
                <w:szCs w:val="20"/>
              </w:rPr>
            </w:pPr>
            <w:r>
              <w:rPr>
                <w:color w:val="000000"/>
                <w:spacing w:val="0"/>
                <w:w w:val="100"/>
                <w:position w:val="0"/>
                <w:sz w:val="20"/>
                <w:szCs w:val="20"/>
                <w:shd w:val="clear" w:color="auto" w:fill="auto"/>
                <w:lang w:val="ru-RU" w:eastAsia="ru-RU" w:bidi="ru-RU"/>
              </w:rPr>
              <w:t>0,078696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0,078696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0,078696</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2.2.1. Для проведения углубленной диспансеризации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8.2.4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both"/>
              <w:rPr>
                <w:sz w:val="20"/>
                <w:szCs w:val="20"/>
              </w:rPr>
            </w:pPr>
            <w:r>
              <w:rPr>
                <w:color w:val="000000"/>
                <w:spacing w:val="0"/>
                <w:w w:val="100"/>
                <w:position w:val="0"/>
                <w:sz w:val="20"/>
                <w:szCs w:val="20"/>
                <w:shd w:val="clear" w:color="auto" w:fill="auto"/>
                <w:lang w:val="ru-RU" w:eastAsia="ru-RU" w:bidi="ru-RU"/>
              </w:rPr>
              <w:t>0,050758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2 596,31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0,050758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2 781,95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0,050758</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2 966,26</w:t>
            </w:r>
          </w:p>
        </w:tc>
      </w:tr>
      <w:tr>
        <w:trPr>
          <w:trHeight w:val="116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2.3. Проведение диспансеризации для оценки репродуктивного здоровья женщин и мужчин,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8.3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both"/>
              <w:rPr>
                <w:sz w:val="20"/>
                <w:szCs w:val="20"/>
              </w:rPr>
            </w:pPr>
            <w:r>
              <w:rPr>
                <w:color w:val="000000"/>
                <w:spacing w:val="0"/>
                <w:w w:val="100"/>
                <w:position w:val="0"/>
                <w:sz w:val="20"/>
                <w:szCs w:val="20"/>
                <w:shd w:val="clear" w:color="auto" w:fill="auto"/>
                <w:lang w:val="ru-RU" w:eastAsia="ru-RU" w:bidi="ru-RU"/>
              </w:rPr>
              <w:t>0,145709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2 137,62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0,158198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2 290,44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0,170688</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2 442,16</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1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8.3.1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0,092241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0,104730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0,117220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2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8.3.2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0,029495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0,029495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0,029495</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66"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3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8.3.3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0,023973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0,023973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0,023973</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5"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женщин</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8.3.4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0,074587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3 375,55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0,080980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3 617,00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0,087373</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3 856,56</w:t>
            </w:r>
          </w:p>
        </w:tc>
      </w:tr>
      <w:tr>
        <w:trPr>
          <w:trHeight w:val="466"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мужчин</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8.3.5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0,071122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839,36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0,077218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899,36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0,083314</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958,92</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2.4. Посещения с иными целями,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8.4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2,618238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486,42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2,618238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521,23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2,618238</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555,70</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1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8.4.1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1,501047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1,501047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1,501047</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2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8.4.2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0,426659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0,426659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0,426659</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3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8.4.3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0,690532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0,690532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0,690532</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2.5. В неотложной форме,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8.5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both"/>
              <w:rPr>
                <w:sz w:val="20"/>
                <w:szCs w:val="20"/>
              </w:rPr>
            </w:pPr>
            <w:r>
              <w:rPr>
                <w:color w:val="000000"/>
                <w:spacing w:val="0"/>
                <w:w w:val="100"/>
                <w:position w:val="0"/>
                <w:sz w:val="20"/>
                <w:szCs w:val="20"/>
                <w:shd w:val="clear" w:color="auto" w:fill="auto"/>
                <w:lang w:val="ru-RU" w:eastAsia="ru-RU" w:bidi="ru-RU"/>
              </w:rPr>
              <w:t>0,540000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1 161,02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0,540000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40"/>
              <w:jc w:val="left"/>
              <w:rPr>
                <w:sz w:val="20"/>
                <w:szCs w:val="20"/>
              </w:rPr>
            </w:pPr>
            <w:r>
              <w:rPr>
                <w:color w:val="000000"/>
                <w:spacing w:val="0"/>
                <w:w w:val="100"/>
                <w:position w:val="0"/>
                <w:sz w:val="20"/>
                <w:szCs w:val="20"/>
                <w:shd w:val="clear" w:color="auto" w:fill="auto"/>
                <w:lang w:val="ru-RU" w:eastAsia="ru-RU" w:bidi="ru-RU"/>
              </w:rPr>
              <w:t>1 244,01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0,540000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1 326,44</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1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8.5.1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both"/>
              <w:rPr>
                <w:sz w:val="20"/>
                <w:szCs w:val="20"/>
              </w:rPr>
            </w:pPr>
            <w:r>
              <w:rPr>
                <w:color w:val="000000"/>
                <w:spacing w:val="0"/>
                <w:w w:val="100"/>
                <w:position w:val="0"/>
                <w:sz w:val="20"/>
                <w:szCs w:val="20"/>
                <w:shd w:val="clear" w:color="auto" w:fill="auto"/>
                <w:lang w:val="ru-RU" w:eastAsia="ru-RU" w:bidi="ru-RU"/>
              </w:rPr>
              <w:t>0,320000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0,320000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0,320000</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2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8.5.2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both"/>
              <w:rPr>
                <w:sz w:val="20"/>
                <w:szCs w:val="20"/>
              </w:rPr>
            </w:pPr>
            <w:r>
              <w:rPr>
                <w:color w:val="000000"/>
                <w:spacing w:val="0"/>
                <w:w w:val="100"/>
                <w:position w:val="0"/>
                <w:sz w:val="20"/>
                <w:szCs w:val="20"/>
                <w:shd w:val="clear" w:color="auto" w:fill="auto"/>
                <w:lang w:val="ru-RU" w:eastAsia="ru-RU" w:bidi="ru-RU"/>
              </w:rPr>
              <w:t>0,060000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0,060000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0,060000</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3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8.5.3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both"/>
              <w:rPr>
                <w:sz w:val="20"/>
                <w:szCs w:val="20"/>
              </w:rPr>
            </w:pPr>
            <w:r>
              <w:rPr>
                <w:color w:val="000000"/>
                <w:spacing w:val="0"/>
                <w:w w:val="100"/>
                <w:position w:val="0"/>
                <w:sz w:val="20"/>
                <w:szCs w:val="20"/>
                <w:shd w:val="clear" w:color="auto" w:fill="auto"/>
                <w:lang w:val="ru-RU" w:eastAsia="ru-RU" w:bidi="ru-RU"/>
              </w:rPr>
              <w:t>0,160000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0,160000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0,160000</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2.6. В связи с заболеваниями (обращений),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8.6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обращений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both"/>
              <w:rPr>
                <w:sz w:val="20"/>
                <w:szCs w:val="20"/>
              </w:rPr>
            </w:pPr>
            <w:r>
              <w:rPr>
                <w:color w:val="000000"/>
                <w:spacing w:val="0"/>
                <w:w w:val="100"/>
                <w:position w:val="0"/>
                <w:sz w:val="20"/>
                <w:szCs w:val="20"/>
                <w:shd w:val="clear" w:color="auto" w:fill="auto"/>
                <w:lang w:val="ru-RU" w:eastAsia="ru-RU" w:bidi="ru-RU"/>
              </w:rPr>
              <w:t>1,335969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2 281,49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1,335969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2 444,70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1,335969</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2 606,58</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1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8.6.1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обращений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both"/>
              <w:rPr>
                <w:sz w:val="20"/>
                <w:szCs w:val="20"/>
              </w:rPr>
            </w:pPr>
            <w:r>
              <w:rPr>
                <w:color w:val="000000"/>
                <w:spacing w:val="0"/>
                <w:w w:val="100"/>
                <w:position w:val="0"/>
                <w:sz w:val="20"/>
                <w:szCs w:val="20"/>
                <w:shd w:val="clear" w:color="auto" w:fill="auto"/>
                <w:lang w:val="ru-RU" w:eastAsia="ru-RU" w:bidi="ru-RU"/>
              </w:rPr>
              <w:t>0,813002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0,813002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0,813002</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2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8.6.2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обращений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both"/>
              <w:rPr>
                <w:sz w:val="20"/>
                <w:szCs w:val="20"/>
              </w:rPr>
            </w:pPr>
            <w:r>
              <w:rPr>
                <w:color w:val="000000"/>
                <w:spacing w:val="0"/>
                <w:w w:val="100"/>
                <w:position w:val="0"/>
                <w:sz w:val="20"/>
                <w:szCs w:val="20"/>
                <w:shd w:val="clear" w:color="auto" w:fill="auto"/>
                <w:lang w:val="ru-RU" w:eastAsia="ru-RU" w:bidi="ru-RU"/>
              </w:rPr>
              <w:t>0,236376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0,236376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0,236376</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50"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3 уровня</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8.6.3</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обращений</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both"/>
              <w:rPr>
                <w:sz w:val="20"/>
                <w:szCs w:val="20"/>
              </w:rPr>
            </w:pPr>
            <w:r>
              <w:rPr>
                <w:color w:val="000000"/>
                <w:spacing w:val="0"/>
                <w:w w:val="100"/>
                <w:position w:val="0"/>
                <w:sz w:val="20"/>
                <w:szCs w:val="20"/>
                <w:shd w:val="clear" w:color="auto" w:fill="auto"/>
                <w:lang w:val="ru-RU" w:eastAsia="ru-RU" w:bidi="ru-RU"/>
              </w:rPr>
              <w:t>0,286591</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0,286591</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0,286591</w:t>
            </w:r>
          </w:p>
        </w:tc>
        <w:tc>
          <w:tcPr>
            <w:tcBorders>
              <w:top w:val="single" w:sz="4"/>
              <w:left w:val="single" w:sz="4"/>
              <w:bottom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bl>
    <w:p>
      <w:pPr>
        <w:spacing w:lineRule="exact" w:line="1"/>
        <w:rPr>
          <w:sz w:val="2"/>
          <w:szCs w:val="2"/>
        </w:rPr>
      </w:pPr>
      <w:r>
        <w:br w:type="page"/>
      </w:r>
    </w:p>
    <w:tbl>
      <w:tblPr>
        <w:tblOverlap w:val="never"/>
        <w:jc w:val="center"/>
        <w:tblLayout w:type="fixed"/>
      </w:tblPr>
      <w:tblGrid>
        <w:gridCol w:w="2698"/>
        <w:gridCol w:w="1133"/>
        <w:gridCol w:w="1704"/>
        <w:gridCol w:w="1699"/>
        <w:gridCol w:w="1699"/>
        <w:gridCol w:w="1560"/>
        <w:gridCol w:w="1421"/>
        <w:gridCol w:w="1699"/>
        <w:gridCol w:w="1709"/>
      </w:tblGrid>
      <w:tr>
        <w:trPr>
          <w:trHeight w:val="24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r>
      <w:tr>
        <w:trPr>
          <w:trHeight w:val="1853"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2.6.1. Консультация с применением телемедицинских технологий при дистанционном взаимодействии медицинских работников между собой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8.6.4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консультаций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0,080667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419,79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0,080667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449,85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0,080667</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479,68</w:t>
            </w:r>
          </w:p>
        </w:tc>
      </w:tr>
      <w:tr>
        <w:trPr>
          <w:trHeight w:val="2078"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8.6.5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консультаций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0,030555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371,61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0,030555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398,24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0,030555</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424,65</w:t>
            </w:r>
          </w:p>
        </w:tc>
      </w:tr>
      <w:tr>
        <w:trPr>
          <w:trHeight w:val="9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2.7. Проведение отдельных диагностических (лабораторных) исследований,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0,274512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2 545,59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0,274786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2 720,40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0,275063</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2 906,04</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1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8.7.1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0,069849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0,069849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0,069849</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2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8.7.2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0,056379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0,056379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0,056379</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3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8.7.3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0,148284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0,148558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0,148835</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2.7.1. Компьютерная томография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8.7.4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0,057732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3 799,98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0,057732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4 071,81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0,057732</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4 341,55</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2.7.2. Магнитно-резонансная томография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8.7.5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0,022033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5 188,53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0,022033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5 559,59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0,022033</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5 927,88</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2.7.3. Ультразвуковое исследование сердечно</w:t>
              <w:softHyphen/>
              <w:t>сосудистой системы</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8.7.6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0,122408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819,69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0,122408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878,36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0,122408</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936,60</w:t>
            </w:r>
          </w:p>
        </w:tc>
      </w:tr>
      <w:tr>
        <w:trPr>
          <w:trHeight w:val="69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2.7.4. Эндоскопическое диагностическое исследование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8.7.7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0,035370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1 503,02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0,035370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1 610,54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0,035370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1 717,17</w:t>
            </w:r>
          </w:p>
        </w:tc>
      </w:tr>
      <w:tr>
        <w:trPr>
          <w:trHeight w:val="116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2.7.5. Молекулярно</w:t>
              <w:softHyphen/>
              <w:t>генетическое исследование с целью диагностики онкологических заболеваний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8.7.8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0,001492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И 815,99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0,001492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12 661,09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0,001492</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13 499,79</w:t>
            </w:r>
          </w:p>
        </w:tc>
      </w:tr>
      <w:tr>
        <w:trPr>
          <w:trHeight w:val="336"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2.7.6. Патолого-</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8.7.9</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0,027103</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2 914,00</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0,027103</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3 122,40</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0,027103</w:t>
            </w:r>
          </w:p>
        </w:tc>
        <w:tc>
          <w:tcPr>
            <w:tcBorders>
              <w:top w:val="single" w:sz="4"/>
              <w:left w:val="single" w:sz="4"/>
              <w:bottom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3 329,25</w:t>
            </w:r>
          </w:p>
        </w:tc>
      </w:tr>
    </w:tbl>
    <w:p>
      <w:pPr>
        <w:spacing w:lineRule="exact" w:line="1"/>
        <w:rPr>
          <w:sz w:val="2"/>
          <w:szCs w:val="2"/>
        </w:rPr>
      </w:pPr>
      <w:r>
        <w:br w:type="page"/>
      </w:r>
    </w:p>
    <w:tbl>
      <w:tblPr>
        <w:tblOverlap w:val="never"/>
        <w:jc w:val="center"/>
        <w:tblLayout w:type="fixed"/>
      </w:tblPr>
      <w:tblGrid>
        <w:gridCol w:w="2698"/>
        <w:gridCol w:w="1133"/>
        <w:gridCol w:w="1704"/>
        <w:gridCol w:w="1699"/>
        <w:gridCol w:w="1699"/>
        <w:gridCol w:w="1560"/>
        <w:gridCol w:w="1421"/>
        <w:gridCol w:w="1699"/>
        <w:gridCol w:w="1709"/>
      </w:tblGrid>
      <w:tr>
        <w:trPr>
          <w:trHeight w:val="24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r>
      <w:tr>
        <w:trPr>
          <w:trHeight w:val="1853"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387"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2.7.7. Позитронная эмиссионная томография и (или) позитронная эмиссионная томография, совмещенная с компьютерной томографией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8.7.10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0,002081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39 132,91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0,002141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41 028,87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0,002203</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42 957,65</w:t>
            </w:r>
          </w:p>
        </w:tc>
      </w:tr>
      <w:tr>
        <w:trPr>
          <w:trHeight w:val="2314"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2.7.8. Однофотонная эмиссионная компьютерная томография и (или) однофотонная эмиссионная компьютерная томография, совмещенная с компьютерной томографией, включая все виды сцинтиграфических 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8.7.11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0,003783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5 369,86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0,003997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5 753,96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0,004212</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6 135,07</w:t>
            </w:r>
          </w:p>
        </w:tc>
      </w:tr>
      <w:tr>
        <w:trPr>
          <w:trHeight w:val="116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2.7.9. Неинвазивное</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пренатальное тестирование (определение внеклеточной ДНК плода по крови матери)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8.7.12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0,000647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16 034,10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0,000647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17 180,87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0,000647</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18 318,91</w:t>
            </w:r>
          </w:p>
        </w:tc>
      </w:tr>
      <w:tr>
        <w:trPr>
          <w:trHeight w:val="92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2.7.10. Определение РНК вируса гепатита С (НераООз С У1гиз) в крови методом ПЦР</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8.7.13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0,001241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1 218,04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0,001241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40"/>
              <w:jc w:val="left"/>
              <w:rPr>
                <w:sz w:val="20"/>
                <w:szCs w:val="20"/>
              </w:rPr>
            </w:pPr>
            <w:r>
              <w:rPr>
                <w:color w:val="000000"/>
                <w:spacing w:val="0"/>
                <w:w w:val="100"/>
                <w:position w:val="0"/>
                <w:sz w:val="20"/>
                <w:szCs w:val="20"/>
                <w:shd w:val="clear" w:color="auto" w:fill="auto"/>
                <w:lang w:val="ru-RU" w:eastAsia="ru-RU" w:bidi="ru-RU"/>
              </w:rPr>
              <w:t>1 305,12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0,001241</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1 391,53</w:t>
            </w:r>
          </w:p>
        </w:tc>
      </w:tr>
      <w:tr>
        <w:trPr>
          <w:trHeight w:val="139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2.7.11. Лабораторная диагностика для пациентов с хроническим вирусным гепатитом С (оценка стадии фиброза, определение генотипа ВГС)</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8.7.14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0,000622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2 159,39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0,000622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2 313,76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0,000622</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2 467,02</w:t>
            </w:r>
          </w:p>
        </w:tc>
      </w:tr>
      <w:tr>
        <w:trPr>
          <w:trHeight w:val="480"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2.8. Ведение школ для больных с хроническими</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8.8</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0,210277</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1 061,68</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0,210277</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40"/>
              <w:jc w:val="left"/>
              <w:rPr>
                <w:sz w:val="20"/>
                <w:szCs w:val="20"/>
              </w:rPr>
            </w:pPr>
            <w:r>
              <w:rPr>
                <w:color w:val="000000"/>
                <w:spacing w:val="0"/>
                <w:w w:val="100"/>
                <w:position w:val="0"/>
                <w:sz w:val="20"/>
                <w:szCs w:val="20"/>
                <w:shd w:val="clear" w:color="auto" w:fill="auto"/>
                <w:lang w:val="ru-RU" w:eastAsia="ru-RU" w:bidi="ru-RU"/>
              </w:rPr>
              <w:t>1 137,60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0,210277</w:t>
            </w:r>
          </w:p>
        </w:tc>
        <w:tc>
          <w:tcPr>
            <w:tcBorders>
              <w:top w:val="single" w:sz="4"/>
              <w:left w:val="single" w:sz="4"/>
              <w:bottom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1 212,96</w:t>
            </w:r>
          </w:p>
        </w:tc>
      </w:tr>
    </w:tbl>
    <w:p>
      <w:pPr>
        <w:spacing w:lineRule="exact" w:line="1"/>
        <w:rPr>
          <w:sz w:val="2"/>
          <w:szCs w:val="2"/>
        </w:rPr>
      </w:pPr>
      <w:r>
        <w:br w:type="page"/>
      </w:r>
    </w:p>
    <w:tbl>
      <w:tblPr>
        <w:tblOverlap w:val="never"/>
        <w:jc w:val="center"/>
        <w:tblLayout w:type="fixed"/>
      </w:tblPr>
      <w:tblGrid>
        <w:gridCol w:w="2698"/>
        <w:gridCol w:w="1133"/>
        <w:gridCol w:w="1704"/>
        <w:gridCol w:w="1699"/>
        <w:gridCol w:w="1699"/>
        <w:gridCol w:w="1560"/>
        <w:gridCol w:w="1421"/>
        <w:gridCol w:w="1699"/>
        <w:gridCol w:w="1709"/>
      </w:tblGrid>
      <w:tr>
        <w:trPr>
          <w:trHeight w:val="24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r>
      <w:tr>
        <w:trPr>
          <w:trHeight w:val="116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неинфекционными заболеваниями, школ для беременных и по вопросам грудного вскармливания, в том числе</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1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8.8.1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0,128290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0,128290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0,128290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2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8.8.2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0,047733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0,047733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0,047733</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3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8.8.3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0,034254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0,034254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0,034254</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2.8.1. Ведение школ для больных сахарным диабетом</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8.8.4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0,005620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1 563,35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0,005620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1 675,18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0,005620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1 786,12</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2.9. Диспансерное наблюдение</w:t>
            </w:r>
            <w:r>
              <w:rPr>
                <w:color w:val="000000"/>
                <w:spacing w:val="0"/>
                <w:w w:val="100"/>
                <w:position w:val="0"/>
                <w:sz w:val="20"/>
                <w:szCs w:val="20"/>
                <w:shd w:val="clear" w:color="auto" w:fill="auto"/>
                <w:vertAlign w:val="superscript"/>
                <w:lang w:val="ru-RU" w:eastAsia="ru-RU" w:bidi="ru-RU"/>
              </w:rPr>
              <w:t>9</w:t>
            </w:r>
            <w:r>
              <w:rPr>
                <w:color w:val="000000"/>
                <w:spacing w:val="0"/>
                <w:w w:val="100"/>
                <w:position w:val="0"/>
                <w:sz w:val="20"/>
                <w:szCs w:val="20"/>
                <w:shd w:val="clear" w:color="auto" w:fill="auto"/>
                <w:lang w:val="ru-RU" w:eastAsia="ru-RU" w:bidi="ru-RU"/>
              </w:rPr>
              <w:t>,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8.9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0,275509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3 440,42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0,275509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3 686,39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0,275509</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3 930,60</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1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8.9.1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0,144745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0,144745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0,144745</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2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8.9.2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0,055593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0,055593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0,055593</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66"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3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8.9.3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0,075171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0,075171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0,075171</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2.9.1. По поводу онкологических заболеваний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8.9.4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0,045050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4 786,53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0,045050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5 128,86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0,045050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5 468,53</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2.9.2. По поводу сахарного диабета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8.9.5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0,059800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2 080,83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0,059800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2 229,67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0,059800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2 377,41</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2.9.3. По поводу болезней системы кровообращения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8.9.6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0,138983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4 067,17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0,138983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4 358,01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0,138983</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4 646,64</w:t>
            </w:r>
          </w:p>
        </w:tc>
      </w:tr>
      <w:tr>
        <w:trPr>
          <w:trHeight w:val="93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2.10. Дистанционное наблюдение за состоянием здоровья пациентов,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8.10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0,018057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1 224,78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0,040988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1 415,39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0,042831</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1 548,77</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1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8.10.1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2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8.10.2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3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8.10.3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0,018057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0,040988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0,042831</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5"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2.10.1. Пациентов с сахарным диабетом</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8.10.4</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0,000970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4 035,13</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0,001293</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4 285,85</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0,001940</w:t>
            </w:r>
          </w:p>
        </w:tc>
        <w:tc>
          <w:tcPr>
            <w:tcBorders>
              <w:top w:val="single" w:sz="4"/>
              <w:left w:val="single" w:sz="4"/>
              <w:bottom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4 573,37</w:t>
            </w:r>
          </w:p>
        </w:tc>
      </w:tr>
    </w:tbl>
    <w:p>
      <w:pPr>
        <w:spacing w:lineRule="exact" w:line="1"/>
        <w:rPr>
          <w:sz w:val="2"/>
          <w:szCs w:val="2"/>
        </w:rPr>
      </w:pPr>
      <w:r>
        <w:br w:type="page"/>
      </w:r>
    </w:p>
    <w:tbl>
      <w:tblPr>
        <w:tblOverlap w:val="never"/>
        <w:jc w:val="center"/>
        <w:tblLayout w:type="fixed"/>
      </w:tblPr>
      <w:tblGrid>
        <w:gridCol w:w="2698"/>
        <w:gridCol w:w="1133"/>
        <w:gridCol w:w="1704"/>
        <w:gridCol w:w="1699"/>
        <w:gridCol w:w="1699"/>
        <w:gridCol w:w="1560"/>
        <w:gridCol w:w="1421"/>
        <w:gridCol w:w="1699"/>
        <w:gridCol w:w="1709"/>
      </w:tblGrid>
      <w:tr>
        <w:trPr>
          <w:trHeight w:val="24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r>
      <w:tr>
        <w:trPr>
          <w:trHeight w:val="47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2.10.2. Пациентов с артериальной гипертензией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8.10.5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0,017087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1 065,22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0,039695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1 321,91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0,040891</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1 405,23</w:t>
            </w:r>
          </w:p>
        </w:tc>
      </w:tr>
      <w:tr>
        <w:trPr>
          <w:trHeight w:val="115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2.11. Посещений с профилактическими целями центров здоровья, включая диспансерное наблюдение,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8.11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0,032831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3 564,62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0,032831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1 986,24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0,032831</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2 117,73</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1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8.11.1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0,021042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0,021042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0,021042</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2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8.11.2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0,003944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0,003944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0,003944</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3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8.11.3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0,007845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0,007845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0,007845</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84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0,069345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36 046,09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0,069345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shd w:val="clear" w:color="auto" w:fill="auto"/>
                <w:lang w:val="ru-RU" w:eastAsia="ru-RU" w:bidi="ru-RU"/>
              </w:rPr>
              <w:t>37 960,84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0,069345</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39 893,26</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1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9.1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0,029000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0,029000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0,029000</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2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9.2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0,011000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0,011000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0,011000</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3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9.3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0,029345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0,029345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0,029345</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3.1. Для медицинской помощи по профилю «онкология»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9.4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0,014388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88 556,69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0,014388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shd w:val="clear" w:color="auto" w:fill="auto"/>
                <w:lang w:val="ru-RU" w:eastAsia="ru-RU" w:bidi="ru-RU"/>
              </w:rPr>
              <w:t>93 322,55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0,014388</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98 127,09</w:t>
            </w:r>
          </w:p>
        </w:tc>
      </w:tr>
      <w:tr>
        <w:trPr>
          <w:trHeight w:val="9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3.2. Для медицинской помощи при экстракорпоральном оплодотворении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9.5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0,000741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130 210,88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0,000741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136 477,67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0,000741</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142 856,83</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3.3. Для медицинской помощи больным с вирусным гепатитом С</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9.6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0,001288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69 401,62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0,001288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shd w:val="clear" w:color="auto" w:fill="auto"/>
                <w:lang w:val="ru-RU" w:eastAsia="ru-RU" w:bidi="ru-RU"/>
              </w:rPr>
              <w:t>72 179,26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0,001288</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75 065,30</w:t>
            </w:r>
          </w:p>
        </w:tc>
      </w:tr>
      <w:tr>
        <w:trPr>
          <w:trHeight w:val="1397"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 Специализированная, включая</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высокотехнологичную, медицинская помощь в условиях круглосуточного стационара, за исключением</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0,176524</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61 603,42</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0,176524</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shd w:val="clear" w:color="auto" w:fill="auto"/>
                <w:lang w:val="ru-RU" w:eastAsia="ru-RU" w:bidi="ru-RU"/>
              </w:rPr>
              <w:t>66 985,43</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0,176524</w:t>
            </w:r>
          </w:p>
        </w:tc>
        <w:tc>
          <w:tcPr>
            <w:tcBorders>
              <w:top w:val="single" w:sz="4"/>
              <w:left w:val="single" w:sz="4"/>
              <w:bottom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72 386,56</w:t>
            </w:r>
          </w:p>
        </w:tc>
      </w:tr>
    </w:tbl>
    <w:p>
      <w:pPr>
        <w:spacing w:lineRule="exact" w:line="1"/>
        <w:rPr>
          <w:sz w:val="2"/>
          <w:szCs w:val="2"/>
        </w:rPr>
      </w:pPr>
      <w:r>
        <w:br w:type="page"/>
      </w:r>
    </w:p>
    <w:tbl>
      <w:tblPr>
        <w:tblOverlap w:val="never"/>
        <w:jc w:val="center"/>
        <w:tblLayout w:type="fixed"/>
      </w:tblPr>
      <w:tblGrid>
        <w:gridCol w:w="2698"/>
        <w:gridCol w:w="1133"/>
        <w:gridCol w:w="1704"/>
        <w:gridCol w:w="1699"/>
        <w:gridCol w:w="1699"/>
        <w:gridCol w:w="1560"/>
        <w:gridCol w:w="1421"/>
        <w:gridCol w:w="1699"/>
        <w:gridCol w:w="1709"/>
      </w:tblGrid>
      <w:tr>
        <w:trPr>
          <w:trHeight w:val="24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r>
      <w:tr>
        <w:trPr>
          <w:trHeight w:val="475"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медицинской реабилитации, в том числе</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66"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1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jc w:val="left"/>
              <w:rPr>
                <w:sz w:val="20"/>
                <w:szCs w:val="20"/>
              </w:rPr>
            </w:pPr>
            <w:r>
              <w:rPr>
                <w:color w:val="000000"/>
                <w:spacing w:val="0"/>
                <w:w w:val="100"/>
                <w:position w:val="0"/>
                <w:sz w:val="20"/>
                <w:szCs w:val="20"/>
                <w:shd w:val="clear" w:color="auto" w:fill="auto"/>
                <w:lang w:val="ru-RU" w:eastAsia="ru-RU" w:bidi="ru-RU"/>
              </w:rPr>
              <w:t>10.1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0,028580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0,028580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0,028580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2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jc w:val="left"/>
              <w:rPr>
                <w:sz w:val="20"/>
                <w:szCs w:val="20"/>
              </w:rPr>
            </w:pPr>
            <w:r>
              <w:rPr>
                <w:color w:val="000000"/>
                <w:spacing w:val="0"/>
                <w:w w:val="100"/>
                <w:position w:val="0"/>
                <w:sz w:val="20"/>
                <w:szCs w:val="20"/>
                <w:shd w:val="clear" w:color="auto" w:fill="auto"/>
                <w:lang w:val="ru-RU" w:eastAsia="ru-RU" w:bidi="ru-RU"/>
              </w:rPr>
              <w:t>10.2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0,026170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0,026170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0,026170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3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jc w:val="left"/>
              <w:rPr>
                <w:sz w:val="20"/>
                <w:szCs w:val="20"/>
              </w:rPr>
            </w:pPr>
            <w:r>
              <w:rPr>
                <w:color w:val="000000"/>
                <w:spacing w:val="0"/>
                <w:w w:val="100"/>
                <w:position w:val="0"/>
                <w:sz w:val="20"/>
                <w:szCs w:val="20"/>
                <w:shd w:val="clear" w:color="auto" w:fill="auto"/>
                <w:lang w:val="ru-RU" w:eastAsia="ru-RU" w:bidi="ru-RU"/>
              </w:rPr>
              <w:t>10.3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0,121774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0,121774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0,121774</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4.1. Медицинская помощь по профилю «онкология»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jc w:val="left"/>
              <w:rPr>
                <w:sz w:val="20"/>
                <w:szCs w:val="20"/>
              </w:rPr>
            </w:pPr>
            <w:r>
              <w:rPr>
                <w:color w:val="000000"/>
                <w:spacing w:val="0"/>
                <w:w w:val="100"/>
                <w:position w:val="0"/>
                <w:sz w:val="20"/>
                <w:szCs w:val="20"/>
                <w:shd w:val="clear" w:color="auto" w:fill="auto"/>
                <w:lang w:val="ru-RU" w:eastAsia="ru-RU" w:bidi="ru-RU"/>
              </w:rPr>
              <w:t>10.4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0,010265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ИЗ 837,32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0,010265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121 273,20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0,010265</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128 679,46</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4.2. Стентирование коронарных артерий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jc w:val="left"/>
              <w:rPr>
                <w:sz w:val="20"/>
                <w:szCs w:val="20"/>
              </w:rPr>
            </w:pPr>
            <w:r>
              <w:rPr>
                <w:color w:val="000000"/>
                <w:spacing w:val="0"/>
                <w:w w:val="100"/>
                <w:position w:val="0"/>
                <w:sz w:val="20"/>
                <w:szCs w:val="20"/>
                <w:shd w:val="clear" w:color="auto" w:fill="auto"/>
                <w:lang w:val="ru-RU" w:eastAsia="ru-RU" w:bidi="ru-RU"/>
              </w:rPr>
              <w:t>10.5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0,002327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185 544,97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0,002327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194 784,87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0,002327</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204 160,57</w:t>
            </w:r>
          </w:p>
        </w:tc>
      </w:tr>
      <w:tr>
        <w:trPr>
          <w:trHeight w:val="9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4.3. Имплантация частотно</w:t>
              <w:softHyphen/>
              <w:t>адаптированного кардиостимулятора взрослым</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jc w:val="left"/>
              <w:rPr>
                <w:sz w:val="20"/>
                <w:szCs w:val="20"/>
              </w:rPr>
            </w:pPr>
            <w:r>
              <w:rPr>
                <w:color w:val="000000"/>
                <w:spacing w:val="0"/>
                <w:w w:val="100"/>
                <w:position w:val="0"/>
                <w:sz w:val="20"/>
                <w:szCs w:val="20"/>
                <w:shd w:val="clear" w:color="auto" w:fill="auto"/>
                <w:lang w:val="ru-RU" w:eastAsia="ru-RU" w:bidi="ru-RU"/>
              </w:rPr>
              <w:t>10.6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0,000430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286 630,37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0,000430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298 864,05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0,000430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311 476,52</w:t>
            </w:r>
          </w:p>
        </w:tc>
      </w:tr>
      <w:tr>
        <w:trPr>
          <w:trHeight w:val="92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4.4. Эндоваскулярная деструкция дополнительных проводящих путей и аритмогенных зон сердца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jc w:val="left"/>
              <w:rPr>
                <w:sz w:val="20"/>
                <w:szCs w:val="20"/>
              </w:rPr>
            </w:pPr>
            <w:r>
              <w:rPr>
                <w:color w:val="000000"/>
                <w:spacing w:val="0"/>
                <w:w w:val="100"/>
                <w:position w:val="0"/>
                <w:sz w:val="20"/>
                <w:szCs w:val="20"/>
                <w:shd w:val="clear" w:color="auto" w:fill="auto"/>
                <w:lang w:val="ru-RU" w:eastAsia="ru-RU" w:bidi="ru-RU"/>
              </w:rPr>
              <w:t>10.7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0,000189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388 292,69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0,000189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405 313,45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0,000189</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422 808,03</w:t>
            </w:r>
          </w:p>
        </w:tc>
      </w:tr>
      <w:tr>
        <w:trPr>
          <w:trHeight w:val="116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4.5. Оперативные вмешательства на брахиоцефальных артериях (стентирование или эндартерэктомия)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jc w:val="left"/>
              <w:rPr>
                <w:sz w:val="20"/>
                <w:szCs w:val="20"/>
              </w:rPr>
            </w:pPr>
            <w:r>
              <w:rPr>
                <w:color w:val="000000"/>
                <w:spacing w:val="0"/>
                <w:w w:val="100"/>
                <w:position w:val="0"/>
                <w:sz w:val="20"/>
                <w:szCs w:val="20"/>
                <w:shd w:val="clear" w:color="auto" w:fill="auto"/>
                <w:lang w:val="ru-RU" w:eastAsia="ru-RU" w:bidi="ru-RU"/>
              </w:rPr>
              <w:t>10.8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0,000472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233 331,58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0,000472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247 463,87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0,000472</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261 596,37</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4.6. Трансплантация почки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jc w:val="left"/>
              <w:rPr>
                <w:sz w:val="20"/>
                <w:szCs w:val="20"/>
              </w:rPr>
            </w:pPr>
            <w:r>
              <w:rPr>
                <w:color w:val="000000"/>
                <w:spacing w:val="0"/>
                <w:w w:val="100"/>
                <w:position w:val="0"/>
                <w:sz w:val="20"/>
                <w:szCs w:val="20"/>
                <w:shd w:val="clear" w:color="auto" w:fill="auto"/>
                <w:lang w:val="ru-RU" w:eastAsia="ru-RU" w:bidi="ru-RU"/>
              </w:rPr>
              <w:t>10.9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0,000025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1 436 420,88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0,000025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1 513 296,17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0,000025</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1 590 828,72</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5. Медицинская реабилитация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5.1. В амбулаторных условиях,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jc w:val="left"/>
              <w:rPr>
                <w:sz w:val="20"/>
                <w:szCs w:val="20"/>
              </w:rPr>
            </w:pPr>
            <w:r>
              <w:rPr>
                <w:color w:val="000000"/>
                <w:spacing w:val="0"/>
                <w:w w:val="100"/>
                <w:position w:val="0"/>
                <w:sz w:val="20"/>
                <w:szCs w:val="20"/>
                <w:shd w:val="clear" w:color="auto" w:fill="auto"/>
                <w:lang w:val="ru-RU" w:eastAsia="ru-RU" w:bidi="ru-RU"/>
              </w:rPr>
              <w:t>11.1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0,003371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30 022,63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0,003506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32 178,82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0,003647</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34 318,32</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1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20"/>
              <w:jc w:val="left"/>
              <w:rPr>
                <w:sz w:val="20"/>
                <w:szCs w:val="20"/>
              </w:rPr>
            </w:pPr>
            <w:r>
              <w:rPr>
                <w:color w:val="000000"/>
                <w:spacing w:val="0"/>
                <w:w w:val="100"/>
                <w:position w:val="0"/>
                <w:sz w:val="20"/>
                <w:szCs w:val="20"/>
                <w:shd w:val="clear" w:color="auto" w:fill="auto"/>
                <w:lang w:val="ru-RU" w:eastAsia="ru-RU" w:bidi="ru-RU"/>
              </w:rPr>
              <w:t>11.1.1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0,002514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0,002649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0,002790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2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20"/>
              <w:jc w:val="left"/>
              <w:rPr>
                <w:sz w:val="20"/>
                <w:szCs w:val="20"/>
              </w:rPr>
            </w:pPr>
            <w:r>
              <w:rPr>
                <w:color w:val="000000"/>
                <w:spacing w:val="0"/>
                <w:w w:val="100"/>
                <w:position w:val="0"/>
                <w:sz w:val="20"/>
                <w:szCs w:val="20"/>
                <w:shd w:val="clear" w:color="auto" w:fill="auto"/>
                <w:lang w:val="ru-RU" w:eastAsia="ru-RU" w:bidi="ru-RU"/>
              </w:rPr>
              <w:t>11.1.2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0,000334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0,000334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0,000334</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3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20"/>
              <w:jc w:val="left"/>
              <w:rPr>
                <w:sz w:val="20"/>
                <w:szCs w:val="20"/>
              </w:rPr>
            </w:pPr>
            <w:r>
              <w:rPr>
                <w:color w:val="000000"/>
                <w:spacing w:val="0"/>
                <w:w w:val="100"/>
                <w:position w:val="0"/>
                <w:sz w:val="20"/>
                <w:szCs w:val="20"/>
                <w:shd w:val="clear" w:color="auto" w:fill="auto"/>
                <w:lang w:val="ru-RU" w:eastAsia="ru-RU" w:bidi="ru-RU"/>
              </w:rPr>
              <w:t>11.1.3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0,000523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0,000523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0,000523</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6"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5.2. В условиях дневных стационаров (первичная медико-санитарная помощь,</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jc w:val="left"/>
              <w:rPr>
                <w:sz w:val="20"/>
                <w:szCs w:val="20"/>
              </w:rPr>
            </w:pPr>
            <w:r>
              <w:rPr>
                <w:color w:val="000000"/>
                <w:spacing w:val="0"/>
                <w:w w:val="100"/>
                <w:position w:val="0"/>
                <w:sz w:val="20"/>
                <w:szCs w:val="20"/>
                <w:shd w:val="clear" w:color="auto" w:fill="auto"/>
                <w:lang w:val="ru-RU" w:eastAsia="ru-RU" w:bidi="ru-RU"/>
              </w:rPr>
              <w:t>11.2</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0,002813</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33 020,94</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0,002926</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35 291,38</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0,003044</w:t>
            </w:r>
          </w:p>
        </w:tc>
        <w:tc>
          <w:tcPr>
            <w:tcBorders>
              <w:top w:val="single" w:sz="4"/>
              <w:left w:val="single" w:sz="4"/>
              <w:bottom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37 547,79</w:t>
            </w:r>
          </w:p>
        </w:tc>
      </w:tr>
    </w:tbl>
    <w:tbl>
      <w:tblPr>
        <w:tblOverlap w:val="never"/>
        <w:jc w:val="center"/>
        <w:tblLayout w:type="fixed"/>
      </w:tblPr>
      <w:tblGrid>
        <w:gridCol w:w="2698"/>
        <w:gridCol w:w="1133"/>
        <w:gridCol w:w="1704"/>
        <w:gridCol w:w="1699"/>
        <w:gridCol w:w="1699"/>
        <w:gridCol w:w="1560"/>
        <w:gridCol w:w="1421"/>
        <w:gridCol w:w="1699"/>
        <w:gridCol w:w="1709"/>
      </w:tblGrid>
      <w:tr>
        <w:trPr>
          <w:trHeight w:val="24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специализированная медицинская помощь), в том</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числе</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1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20"/>
              <w:jc w:val="left"/>
              <w:rPr>
                <w:sz w:val="20"/>
                <w:szCs w:val="20"/>
              </w:rPr>
            </w:pPr>
            <w:r>
              <w:rPr>
                <w:color w:val="000000"/>
                <w:spacing w:val="0"/>
                <w:w w:val="100"/>
                <w:position w:val="0"/>
                <w:sz w:val="20"/>
                <w:szCs w:val="20"/>
                <w:shd w:val="clear" w:color="auto" w:fill="auto"/>
                <w:lang w:val="ru-RU" w:eastAsia="ru-RU" w:bidi="ru-RU"/>
              </w:rPr>
              <w:t>11.2.1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0,000195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0,000195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0,000195</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2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20"/>
              <w:jc w:val="left"/>
              <w:rPr>
                <w:sz w:val="20"/>
                <w:szCs w:val="20"/>
              </w:rPr>
            </w:pPr>
            <w:r>
              <w:rPr>
                <w:color w:val="000000"/>
                <w:spacing w:val="0"/>
                <w:w w:val="100"/>
                <w:position w:val="0"/>
                <w:sz w:val="20"/>
                <w:szCs w:val="20"/>
                <w:shd w:val="clear" w:color="auto" w:fill="auto"/>
                <w:lang w:val="ru-RU" w:eastAsia="ru-RU" w:bidi="ru-RU"/>
              </w:rPr>
              <w:t>11.2.2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0,002511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0,002624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0,002742</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3 уровня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20"/>
              <w:jc w:val="left"/>
              <w:rPr>
                <w:sz w:val="20"/>
                <w:szCs w:val="20"/>
              </w:rPr>
            </w:pPr>
            <w:r>
              <w:rPr>
                <w:color w:val="000000"/>
                <w:spacing w:val="0"/>
                <w:w w:val="100"/>
                <w:position w:val="0"/>
                <w:sz w:val="20"/>
                <w:szCs w:val="20"/>
                <w:shd w:val="clear" w:color="auto" w:fill="auto"/>
                <w:lang w:val="ru-RU" w:eastAsia="ru-RU" w:bidi="ru-RU"/>
              </w:rPr>
              <w:t>11.2.3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0,000107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0,000107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0,000107</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39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5.3. Специализированная, в том числе</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высокотехнологичная, медицинская помощь в условиях круглосуточного стационара,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11.3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0,005869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64 193,63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0,006104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68 191,76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0,006350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72 451,98</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1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20"/>
              <w:jc w:val="left"/>
              <w:rPr>
                <w:sz w:val="20"/>
                <w:szCs w:val="20"/>
              </w:rPr>
            </w:pPr>
            <w:r>
              <w:rPr>
                <w:color w:val="000000"/>
                <w:spacing w:val="0"/>
                <w:w w:val="100"/>
                <w:position w:val="0"/>
                <w:sz w:val="20"/>
                <w:szCs w:val="20"/>
                <w:shd w:val="clear" w:color="auto" w:fill="auto"/>
                <w:lang w:val="ru-RU" w:eastAsia="ru-RU" w:bidi="ru-RU"/>
              </w:rPr>
              <w:t>11.3.1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0,000087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0,000087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0,000087</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2 уровня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20"/>
              <w:jc w:val="left"/>
              <w:rPr>
                <w:sz w:val="20"/>
                <w:szCs w:val="20"/>
              </w:rPr>
            </w:pPr>
            <w:r>
              <w:rPr>
                <w:color w:val="000000"/>
                <w:spacing w:val="0"/>
                <w:w w:val="100"/>
                <w:position w:val="0"/>
                <w:sz w:val="20"/>
                <w:szCs w:val="20"/>
                <w:shd w:val="clear" w:color="auto" w:fill="auto"/>
                <w:lang w:val="ru-RU" w:eastAsia="ru-RU" w:bidi="ru-RU"/>
              </w:rPr>
              <w:t>11.3.2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0,001085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0,001085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0,001085</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80" w:hRule="exact"/>
        </w:trPr>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 3 уровня</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20"/>
              <w:jc w:val="left"/>
              <w:rPr>
                <w:sz w:val="20"/>
                <w:szCs w:val="20"/>
              </w:rPr>
            </w:pPr>
            <w:r>
              <w:rPr>
                <w:color w:val="000000"/>
                <w:spacing w:val="0"/>
                <w:w w:val="100"/>
                <w:position w:val="0"/>
                <w:sz w:val="20"/>
                <w:szCs w:val="20"/>
                <w:shd w:val="clear" w:color="auto" w:fill="auto"/>
                <w:lang w:val="ru-RU" w:eastAsia="ru-RU" w:bidi="ru-RU"/>
              </w:rPr>
              <w:t>11.3.3</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0,004697</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0,004932</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0,005178</w:t>
            </w:r>
          </w:p>
        </w:tc>
        <w:tc>
          <w:tcPr>
            <w:tcBorders>
              <w:top w:val="single" w:sz="4"/>
              <w:left w:val="single" w:sz="4"/>
              <w:bottom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bl>
    <w:p>
      <w:pPr>
        <w:widowControl w:val="0"/>
        <w:spacing w:after="299" w:line="1" w:lineRule="exact"/>
      </w:pPr>
    </w:p>
    <w:p>
      <w:pPr>
        <w:pStyle w:val="Style4"/>
        <w:keepNext w:val="0"/>
        <w:keepLines w:val="0"/>
        <w:widowControl w:val="0"/>
        <w:numPr>
          <w:ilvl w:val="0"/>
          <w:numId w:val="143"/>
        </w:numPr>
        <w:shd w:val="clear" w:color="auto" w:fill="auto"/>
        <w:tabs>
          <w:tab w:pos="903"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областного бюджета при заболеваниях, не входящих в базовую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включают в себя объемы скорой, в том числе скорой специализированной, медицинской помощи не застрахованным по ОМС лицам, в том числе при заболеваниях, входящих в базовую программу ОМС. При этом бюджетные ассигнования, предусмотренные в областном бюджете на финансовое обеспечение медицинской помощи, предоставляемой лицам, не застрахованным по ОМС, не подлежат направлению в виде межбюджетного трансферта в бюджет территориального фонда ОМС Омской области.</w:t>
      </w:r>
    </w:p>
    <w:p>
      <w:pPr>
        <w:pStyle w:val="Style4"/>
        <w:keepNext w:val="0"/>
        <w:keepLines w:val="0"/>
        <w:widowControl w:val="0"/>
        <w:numPr>
          <w:ilvl w:val="0"/>
          <w:numId w:val="143"/>
        </w:numPr>
        <w:shd w:val="clear" w:color="auto" w:fill="auto"/>
        <w:tabs>
          <w:tab w:pos="93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с учетом реальной потребности. При этом расходы на авиационные работы, осуществляемые за счет бюджетных ассигнований федерального бюджета, предусмотренных на реализацию </w:t>
      </w:r>
      <w:r>
        <w:rPr>
          <w:color w:val="000000"/>
          <w:spacing w:val="0"/>
          <w:w w:val="100"/>
          <w:position w:val="0"/>
          <w:shd w:val="clear" w:color="auto" w:fill="auto"/>
          <w:lang w:val="ru-RU" w:eastAsia="ru-RU" w:bidi="ru-RU"/>
        </w:rPr>
        <w:t>федерального проекта «Совершенствование экстренной медицинской помощи», и областного бюджета, не учитываются в подушевых нормативах финансирования за счет бюджетных ассигнований областного бюджета и не подлежат включению в стоимость Территориальной программы государственных гарантий бесплатного оказания гражданам медицинской помощи в Омской области на 2026 год и на плановый период 2027 и 2028 годов.</w:t>
      </w:r>
    </w:p>
    <w:p>
      <w:pPr>
        <w:pStyle w:val="Style4"/>
        <w:keepNext w:val="0"/>
        <w:keepLines w:val="0"/>
        <w:widowControl w:val="0"/>
        <w:numPr>
          <w:ilvl w:val="0"/>
          <w:numId w:val="143"/>
        </w:numPr>
        <w:shd w:val="clear" w:color="auto" w:fill="auto"/>
        <w:tabs>
          <w:tab w:pos="918"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ОМС.</w:t>
      </w:r>
    </w:p>
    <w:p>
      <w:pPr>
        <w:pStyle w:val="Style4"/>
        <w:keepNext w:val="0"/>
        <w:keepLines w:val="0"/>
        <w:widowControl w:val="0"/>
        <w:numPr>
          <w:ilvl w:val="0"/>
          <w:numId w:val="143"/>
        </w:numPr>
        <w:shd w:val="clear" w:color="auto" w:fill="auto"/>
        <w:tabs>
          <w:tab w:pos="922"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w:t>
        <w:softHyphen/>
        <w:t>психологическая помощь при заболеваниях, не входящих в базовую программу ОМС.</w:t>
      </w:r>
    </w:p>
    <w:p>
      <w:pPr>
        <w:pStyle w:val="Style4"/>
        <w:keepNext w:val="0"/>
        <w:keepLines w:val="0"/>
        <w:widowControl w:val="0"/>
        <w:numPr>
          <w:ilvl w:val="0"/>
          <w:numId w:val="143"/>
        </w:numPr>
        <w:shd w:val="clear" w:color="auto" w:fill="auto"/>
        <w:tabs>
          <w:tab w:pos="918"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Нормативы объема медицинской помощи в условиях дневного стационара являются суммой объемов первичной медико- санитарной помощи в дневном стационаре и объемов специализированной медицинской помощи в дневном стационаре.</w:t>
      </w:r>
    </w:p>
    <w:p>
      <w:pPr>
        <w:pStyle w:val="Style4"/>
        <w:keepNext w:val="0"/>
        <w:keepLines w:val="0"/>
        <w:widowControl w:val="0"/>
        <w:numPr>
          <w:ilvl w:val="0"/>
          <w:numId w:val="143"/>
        </w:numPr>
        <w:shd w:val="clear" w:color="auto" w:fill="auto"/>
        <w:tabs>
          <w:tab w:pos="932" w:val="left"/>
        </w:tabs>
        <w:bidi w:val="0"/>
        <w:spacing w:before="0" w:after="0" w:line="240" w:lineRule="auto"/>
        <w:ind w:left="0" w:right="0" w:firstLine="700"/>
        <w:jc w:val="both"/>
      </w:pPr>
      <w:r>
        <w:rPr>
          <w:color w:val="000000"/>
          <w:spacing w:val="0"/>
          <w:w w:val="100"/>
          <w:position w:val="0"/>
          <w:shd w:val="clear" w:color="auto" w:fill="auto"/>
          <w:lang w:val="ru-RU" w:eastAsia="ru-RU" w:bidi="ru-RU"/>
        </w:rPr>
        <w:t>Самостоятельные нормативы объема и стоимости медицинской помощи по профилю «медицинская реабилитация» при заболеваниях, не входящих в базовую программу ОМС,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долечивание после стационарного лечения в специализированной медицинской организации, 2 и 3 этапы медицинской реабилитации, санаторно- курортное лечение, включающее проведение специфической (противорецидивной) лекарственной терапии, могут проводиться на базе санаторно-курортных организаций соответствующего профиля. Медицинская помощь по профилю «медицинская реабилитация» может оказываться в федеральных медицинских организациях при условии участия их в реализации Территориальной программы государственных гарантий бесплатного оказания гражданам медицинской помощи в Омской области на 2026 год и на плановый период 2027 и 2028 годов.</w:t>
      </w:r>
    </w:p>
    <w:p>
      <w:pPr>
        <w:pStyle w:val="Style4"/>
        <w:keepNext w:val="0"/>
        <w:keepLines w:val="0"/>
        <w:widowControl w:val="0"/>
        <w:numPr>
          <w:ilvl w:val="0"/>
          <w:numId w:val="143"/>
        </w:numPr>
        <w:shd w:val="clear" w:color="auto" w:fill="auto"/>
        <w:tabs>
          <w:tab w:pos="922" w:val="left"/>
        </w:tabs>
        <w:bidi w:val="0"/>
        <w:spacing w:before="0" w:after="0" w:line="240" w:lineRule="auto"/>
        <w:ind w:left="0" w:right="0" w:firstLine="700"/>
        <w:jc w:val="both"/>
      </w:pPr>
      <w:r>
        <w:rPr>
          <w:color w:val="000000"/>
          <w:spacing w:val="0"/>
          <w:w w:val="100"/>
          <w:position w:val="0"/>
          <w:shd w:val="clear" w:color="auto" w:fill="auto"/>
          <w:lang w:val="ru-RU" w:eastAsia="ru-RU" w:bidi="ru-RU"/>
        </w:rPr>
        <w:t xml:space="preserve">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w:t>
      </w:r>
      <w:r>
        <w:rPr>
          <w:color w:val="000000"/>
          <w:spacing w:val="0"/>
          <w:w w:val="100"/>
          <w:position w:val="0"/>
          <w:shd w:val="clear" w:color="auto" w:fill="auto"/>
          <w:lang w:val="ru-RU" w:eastAsia="ru-RU" w:bidi="ru-RU"/>
        </w:rPr>
        <w:t>посещения не включены в нормативы объема первичной медико-санитарной помощи в амбулаторных условиях и не учитываются в строке 2.1.</w:t>
      </w:r>
    </w:p>
    <w:p>
      <w:pPr>
        <w:pStyle w:val="Style4"/>
        <w:keepNext w:val="0"/>
        <w:keepLines w:val="0"/>
        <w:widowControl w:val="0"/>
        <w:numPr>
          <w:ilvl w:val="0"/>
          <w:numId w:val="143"/>
        </w:numPr>
        <w:shd w:val="clear" w:color="auto" w:fill="auto"/>
        <w:tabs>
          <w:tab w:pos="92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pPr>
        <w:pStyle w:val="Style4"/>
        <w:keepNext w:val="0"/>
        <w:keepLines w:val="0"/>
        <w:widowControl w:val="0"/>
        <w:numPr>
          <w:ilvl w:val="0"/>
          <w:numId w:val="143"/>
        </w:numPr>
        <w:shd w:val="clear" w:color="auto" w:fill="auto"/>
        <w:tabs>
          <w:tab w:pos="92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Нормативы объема медицинской помощи и финансовых затрат включают в себя в том числе объем диспансеризации (0,000078 комплексного посещения) и диспансерного наблюдения детей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Размер норматива объема медицинской помощи может быть скорректирован с учетом реальной потребности населения. Норматив финансовых затрат на 2026 - 2028 годы устанавливается на основе порядка, установленного Министерством здравоохранения Российской Федерации с учетом возраста.</w:t>
      </w:r>
    </w:p>
    <w:p>
      <w:pPr>
        <w:pStyle w:val="Style4"/>
        <w:keepNext w:val="0"/>
        <w:keepLines w:val="0"/>
        <w:widowControl w:val="0"/>
        <w:shd w:val="clear" w:color="auto" w:fill="auto"/>
        <w:bidi w:val="0"/>
        <w:spacing w:before="0" w:after="0" w:line="240" w:lineRule="auto"/>
        <w:ind w:left="0" w:right="0" w:firstLine="720"/>
        <w:jc w:val="both"/>
        <w:sectPr>
          <w:headerReference w:type="default" r:id="rId31"/>
          <w:footnotePr>
            <w:pos w:val="pageBottom"/>
            <w:numFmt w:val="decimal"/>
            <w:numRestart w:val="continuous"/>
          </w:footnotePr>
          <w:pgSz w:w="16840" w:h="11900" w:orient="landscape"/>
          <w:pgMar w:top="1123" w:right="499" w:bottom="1015" w:left="818" w:header="0" w:footer="587" w:gutter="0"/>
          <w:pgNumType w:start="2"/>
          <w:cols w:space="720"/>
          <w:noEndnote/>
          <w:rtlGutter w:val="0"/>
          <w:docGrid w:linePitch="360"/>
        </w:sectPr>
      </w:pPr>
      <w:r>
        <w:rPr>
          <w:color w:val="000000"/>
          <w:spacing w:val="0"/>
          <w:w w:val="100"/>
          <w:position w:val="0"/>
          <w:shd w:val="clear" w:color="auto" w:fill="auto"/>
          <w:lang w:val="ru-RU" w:eastAsia="ru-RU" w:bidi="ru-RU"/>
        </w:rPr>
        <w:t>Средний норматив финансовых затрат на одно комплексное посещение в рамках диспансерного наблюдения работающих граждан составляет в 2026 году - 3 440,42 рубля, в 2027 году - 3 686,39 рубля, в 2028 году - 3 930,60 рубля.</w:t>
      </w:r>
    </w:p>
    <w:p>
      <w:pPr>
        <w:pStyle w:val="Style4"/>
        <w:keepNext w:val="0"/>
        <w:keepLines w:val="0"/>
        <w:widowControl w:val="0"/>
        <w:shd w:val="clear" w:color="auto" w:fill="auto"/>
        <w:bidi w:val="0"/>
        <w:spacing w:before="0" w:after="320" w:line="240" w:lineRule="auto"/>
        <w:ind w:left="9180" w:right="440" w:firstLine="0"/>
        <w:jc w:val="right"/>
      </w:pPr>
      <w:r>
        <w:rPr>
          <w:color w:val="000000"/>
          <w:spacing w:val="0"/>
          <w:w w:val="100"/>
          <w:position w:val="0"/>
          <w:shd w:val="clear" w:color="auto" w:fill="auto"/>
          <w:lang w:val="ru-RU" w:eastAsia="ru-RU" w:bidi="ru-RU"/>
        </w:rPr>
        <w:t>Приложение № 5 к Территориальной программе государственных гарантий бесплатного оказания гражданам медицинской помощи в Омской области на 2026 год и на плановый период 2027 и 2028 годов</w:t>
      </w:r>
    </w:p>
    <w:p>
      <w:pPr>
        <w:pStyle w:val="Style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ОБЪЕМ</w:t>
      </w:r>
    </w:p>
    <w:p>
      <w:pPr>
        <w:pStyle w:val="Style4"/>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ru-RU" w:eastAsia="ru-RU" w:bidi="ru-RU"/>
        </w:rPr>
        <w:t>медицинской помощи, оказываемой в рамках Территориальной программы государственных гарантий</w:t>
        <w:br/>
        <w:t>бесплатного оказания гражданам медицинской помощи в Омской области на 2026 год в соответствии с</w:t>
        <w:br/>
        <w:t>законодательством Российской Федерации об обязательном медицинском страховании (далее - ОМС)</w:t>
      </w:r>
    </w:p>
    <w:tbl>
      <w:tblPr>
        <w:tblOverlap w:val="never"/>
        <w:jc w:val="center"/>
        <w:tblLayout w:type="fixed"/>
      </w:tblPr>
      <w:tblGrid>
        <w:gridCol w:w="998"/>
        <w:gridCol w:w="6946"/>
        <w:gridCol w:w="3259"/>
        <w:gridCol w:w="2981"/>
      </w:tblGrid>
      <w:tr>
        <w:trPr>
          <w:trHeight w:val="70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 п/п</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580"/>
              <w:jc w:val="left"/>
            </w:pPr>
            <w:r>
              <w:rPr>
                <w:color w:val="000000"/>
                <w:spacing w:val="0"/>
                <w:w w:val="100"/>
                <w:position w:val="0"/>
                <w:shd w:val="clear" w:color="auto" w:fill="auto"/>
                <w:lang w:val="ru-RU" w:eastAsia="ru-RU" w:bidi="ru-RU"/>
              </w:rPr>
              <w:t>Виды и условия оказания медицинской помощи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Единица измерения</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Объем медицинской помощи</w:t>
            </w:r>
          </w:p>
        </w:tc>
      </w:tr>
      <w:tr>
        <w:trPr>
          <w:trHeight w:val="3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3</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4</w:t>
            </w:r>
          </w:p>
        </w:tc>
      </w:tr>
      <w:tr>
        <w:trPr>
          <w:trHeight w:val="65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tabs>
                <w:tab w:pos="1450" w:val="left"/>
                <w:tab w:pos="3605" w:val="left"/>
                <w:tab w:pos="5155" w:val="left"/>
                <w:tab w:pos="5880" w:val="left"/>
              </w:tabs>
              <w:bidi w:val="0"/>
              <w:spacing w:before="0" w:after="0" w:line="240" w:lineRule="auto"/>
              <w:ind w:left="0" w:right="0" w:firstLine="0"/>
              <w:jc w:val="left"/>
            </w:pPr>
            <w:r>
              <w:rPr>
                <w:color w:val="000000"/>
                <w:spacing w:val="0"/>
                <w:w w:val="100"/>
                <w:position w:val="0"/>
                <w:shd w:val="clear" w:color="auto" w:fill="auto"/>
                <w:lang w:val="ru-RU" w:eastAsia="ru-RU" w:bidi="ru-RU"/>
              </w:rPr>
              <w:t>Скорая</w:t>
              <w:tab/>
              <w:t>медицинская</w:t>
              <w:tab/>
              <w:t>помощь</w:t>
              <w:tab/>
              <w:t>в</w:t>
              <w:tab/>
              <w:t>рамках</w:t>
            </w:r>
          </w:p>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территориальной программы ОМС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вызовов</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484 820</w:t>
            </w:r>
          </w:p>
        </w:tc>
      </w:tr>
      <w:tr>
        <w:trPr>
          <w:trHeight w:val="974"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Медицинская помощь, оказываемая в амбулаторных условиях в рамках территориальной программы ОМС, за исключением медицинской реабилитации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X</w:t>
            </w:r>
          </w:p>
        </w:tc>
      </w:tr>
      <w:tr>
        <w:trPr>
          <w:trHeight w:val="331"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 профилактические медицинские осмотры</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комплексных посещений</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483 275</w:t>
            </w:r>
          </w:p>
        </w:tc>
      </w:tr>
      <w:tr>
        <w:trPr>
          <w:trHeight w:val="336"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 диспансеризации</w:t>
            </w:r>
          </w:p>
        </w:tc>
        <w:tc>
          <w:tcPr>
            <w:vMerge/>
            <w:tcBorders>
              <w:left w:val="single" w:sz="4"/>
            </w:tcBorders>
            <w:shd w:val="clear" w:color="auto" w:fill="auto"/>
            <w:vAlign w:val="top"/>
          </w:tcPr>
          <w:p>
            <w:pP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817 225</w:t>
            </w:r>
          </w:p>
        </w:tc>
      </w:tr>
      <w:tr>
        <w:trPr>
          <w:trHeight w:val="586"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в том числе углубленные диспансеризации</w:t>
            </w:r>
          </w:p>
        </w:tc>
        <w:tc>
          <w:tcPr>
            <w:vMerge/>
            <w:tcBorders>
              <w:left w:val="single" w:sz="4"/>
            </w:tcBorders>
            <w:shd w:val="clear" w:color="auto" w:fill="auto"/>
            <w:vAlign w:val="top"/>
          </w:tcPr>
          <w:p>
            <w:pP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94 285</w:t>
            </w:r>
          </w:p>
        </w:tc>
      </w:tr>
      <w:tr>
        <w:trPr>
          <w:trHeight w:val="653"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 диспансеризация для оценки репродуктивного здоровья женщин и мужчин, в том числе</w:t>
            </w:r>
          </w:p>
        </w:tc>
        <w:tc>
          <w:tcPr>
            <w:vMerge/>
            <w:tcBorders>
              <w:left w:val="single" w:sz="4"/>
            </w:tcBorders>
            <w:shd w:val="clear" w:color="auto" w:fill="auto"/>
            <w:vAlign w:val="top"/>
          </w:tcPr>
          <w:p>
            <w:pP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270 662</w:t>
            </w:r>
          </w:p>
        </w:tc>
      </w:tr>
      <w:tr>
        <w:trPr>
          <w:trHeight w:val="331"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женщин</w:t>
            </w:r>
          </w:p>
        </w:tc>
        <w:tc>
          <w:tcPr>
            <w:vMerge/>
            <w:tcBorders>
              <w:left w:val="single" w:sz="4"/>
            </w:tcBorders>
            <w:shd w:val="clear" w:color="auto" w:fill="auto"/>
            <w:vAlign w:val="top"/>
          </w:tcPr>
          <w:p>
            <w:pP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138 549</w:t>
            </w:r>
          </w:p>
        </w:tc>
      </w:tr>
      <w:tr>
        <w:trPr>
          <w:trHeight w:val="341" w:hRule="exact"/>
        </w:trPr>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мужчин</w:t>
            </w:r>
          </w:p>
        </w:tc>
        <w:tc>
          <w:tcPr>
            <w:vMerge/>
            <w:tcBorders>
              <w:left w:val="single" w:sz="4"/>
              <w:bottom w:val="single" w:sz="4"/>
            </w:tcBorders>
            <w:shd w:val="clear" w:color="auto" w:fill="auto"/>
            <w:vAlign w:val="top"/>
          </w:tcPr>
          <w:p>
            <w:pPr/>
          </w:p>
        </w:tc>
        <w:tc>
          <w:tcPr>
            <w:tcBorders>
              <w:top w:val="single" w:sz="4"/>
              <w:left w:val="single" w:sz="4"/>
              <w:bottom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132 113</w:t>
            </w:r>
          </w:p>
        </w:tc>
      </w:tr>
    </w:tbl>
    <w:p>
      <w:pPr>
        <w:sectPr>
          <w:headerReference w:type="default" r:id="rId32"/>
          <w:footnotePr>
            <w:pos w:val="pageBottom"/>
            <w:numFmt w:val="decimal"/>
            <w:numRestart w:val="continuous"/>
          </w:footnotePr>
          <w:pgSz w:w="16840" w:h="11900" w:orient="landscape"/>
          <w:pgMar w:top="1123" w:right="499" w:bottom="1015" w:left="818" w:header="695" w:footer="587" w:gutter="0"/>
          <w:pgNumType w:start="189"/>
          <w:cols w:space="720"/>
          <w:noEndnote/>
          <w:rtlGutter w:val="0"/>
          <w:docGrid w:linePitch="360"/>
        </w:sectPr>
      </w:pPr>
    </w:p>
    <w:tbl>
      <w:tblPr>
        <w:tblOverlap w:val="never"/>
        <w:jc w:val="center"/>
        <w:tblLayout w:type="fixed"/>
      </w:tblPr>
      <w:tblGrid>
        <w:gridCol w:w="998"/>
        <w:gridCol w:w="6946"/>
        <w:gridCol w:w="3259"/>
        <w:gridCol w:w="2981"/>
      </w:tblGrid>
      <w:tr>
        <w:trPr>
          <w:trHeight w:val="34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3</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4</w:t>
            </w:r>
          </w:p>
        </w:tc>
      </w:tr>
      <w:tr>
        <w:trPr>
          <w:trHeight w:val="331" w:hRule="exact"/>
        </w:trPr>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 посещения с иными целями</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посещений</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4 863 505</w:t>
            </w:r>
          </w:p>
        </w:tc>
      </w:tr>
      <w:tr>
        <w:trPr>
          <w:trHeight w:val="331"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 в неотложной форме</w:t>
            </w:r>
          </w:p>
        </w:tc>
        <w:tc>
          <w:tcPr>
            <w:vMerge/>
            <w:tcBorders>
              <w:left w:val="single" w:sz="4"/>
            </w:tcBorders>
            <w:shd w:val="clear" w:color="auto" w:fill="auto"/>
            <w:vAlign w:val="top"/>
          </w:tcPr>
          <w:p>
            <w:pP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1 003 076</w:t>
            </w:r>
          </w:p>
        </w:tc>
      </w:tr>
      <w:tr>
        <w:trPr>
          <w:trHeight w:val="331"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 в связи с заболеваниями, в том числе</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обращений</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2 481 628</w:t>
            </w:r>
          </w:p>
        </w:tc>
      </w:tr>
      <w:tr>
        <w:trPr>
          <w:trHeight w:val="974"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консультация с применением телемедицинских технологий при дистанционном взаимодействии медицинских работников между собой</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консультация</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149 843</w:t>
            </w:r>
          </w:p>
        </w:tc>
      </w:tr>
      <w:tr>
        <w:trPr>
          <w:trHeight w:val="1301"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консультация</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56 757</w:t>
            </w:r>
          </w:p>
        </w:tc>
      </w:tr>
      <w:tr>
        <w:trPr>
          <w:trHeight w:val="653"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tabs>
                <w:tab w:pos="2477" w:val="left"/>
                <w:tab w:pos="4694" w:val="left"/>
              </w:tabs>
              <w:bidi w:val="0"/>
              <w:spacing w:before="0" w:after="0" w:line="240" w:lineRule="auto"/>
              <w:ind w:left="0" w:right="0" w:firstLine="0"/>
              <w:jc w:val="both"/>
            </w:pPr>
            <w:r>
              <w:rPr>
                <w:color w:val="000000"/>
                <w:spacing w:val="0"/>
                <w:w w:val="100"/>
                <w:position w:val="0"/>
                <w:shd w:val="clear" w:color="auto" w:fill="auto"/>
                <w:lang w:val="ru-RU" w:eastAsia="ru-RU" w:bidi="ru-RU"/>
              </w:rPr>
              <w:t>- проведение</w:t>
              <w:tab/>
              <w:t>отдельных</w:t>
              <w:tab/>
              <w:t>диагностических</w:t>
            </w:r>
          </w:p>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(лабораторных) исследований, в том числе</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исследований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509 919</w:t>
            </w:r>
          </w:p>
        </w:tc>
      </w:tr>
      <w:tr>
        <w:trPr>
          <w:trHeight w:val="331"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компьютерная томография</w:t>
            </w:r>
          </w:p>
        </w:tc>
        <w:tc>
          <w:tcPr>
            <w:vMerge/>
            <w:tcBorders>
              <w:left w:val="single" w:sz="4"/>
            </w:tcBorders>
            <w:shd w:val="clear" w:color="auto" w:fill="auto"/>
            <w:vAlign w:val="top"/>
          </w:tcPr>
          <w:p>
            <w:pP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107 240</w:t>
            </w:r>
          </w:p>
        </w:tc>
      </w:tr>
      <w:tr>
        <w:trPr>
          <w:trHeight w:val="331"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магнитно-резонансная томография</w:t>
            </w:r>
          </w:p>
        </w:tc>
        <w:tc>
          <w:tcPr>
            <w:vMerge/>
            <w:tcBorders>
              <w:left w:val="single" w:sz="4"/>
            </w:tcBorders>
            <w:shd w:val="clear" w:color="auto" w:fill="auto"/>
            <w:vAlign w:val="top"/>
          </w:tcPr>
          <w:p>
            <w:pP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40 927</w:t>
            </w:r>
          </w:p>
        </w:tc>
      </w:tr>
      <w:tr>
        <w:trPr>
          <w:trHeight w:val="65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ультразвуковое исследование сердечно-сосудистой системы</w:t>
            </w:r>
          </w:p>
        </w:tc>
        <w:tc>
          <w:tcPr>
            <w:vMerge/>
            <w:tcBorders>
              <w:left w:val="single" w:sz="4"/>
            </w:tcBorders>
            <w:shd w:val="clear" w:color="auto" w:fill="auto"/>
            <w:vAlign w:val="top"/>
          </w:tcPr>
          <w:p>
            <w:pP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227 379</w:t>
            </w:r>
          </w:p>
        </w:tc>
      </w:tr>
      <w:tr>
        <w:trPr>
          <w:trHeight w:val="331"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эндоскопическое диагностическое исследование</w:t>
            </w:r>
          </w:p>
        </w:tc>
        <w:tc>
          <w:tcPr>
            <w:vMerge/>
            <w:tcBorders>
              <w:left w:val="single" w:sz="4"/>
            </w:tcBorders>
            <w:shd w:val="clear" w:color="auto" w:fill="auto"/>
            <w:vAlign w:val="top"/>
          </w:tcPr>
          <w:p>
            <w:pP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65 702</w:t>
            </w:r>
          </w:p>
        </w:tc>
      </w:tr>
      <w:tr>
        <w:trPr>
          <w:trHeight w:val="653"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молекулярно-генетическое исследование с целью диагностики онкологических заболеваний</w:t>
            </w:r>
          </w:p>
        </w:tc>
        <w:tc>
          <w:tcPr>
            <w:vMerge/>
            <w:tcBorders>
              <w:left w:val="single" w:sz="4"/>
            </w:tcBorders>
            <w:shd w:val="clear" w:color="auto" w:fill="auto"/>
            <w:vAlign w:val="top"/>
          </w:tcPr>
          <w:p>
            <w:pP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2 771</w:t>
            </w:r>
          </w:p>
        </w:tc>
      </w:tr>
      <w:tr>
        <w:trPr>
          <w:trHeight w:val="1296"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vMerge/>
            <w:tcBorders>
              <w:left w:val="single" w:sz="4"/>
            </w:tcBorders>
            <w:shd w:val="clear" w:color="auto" w:fill="auto"/>
            <w:vAlign w:val="top"/>
          </w:tcPr>
          <w:p>
            <w:pP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50 345</w:t>
            </w:r>
          </w:p>
        </w:tc>
      </w:tr>
      <w:tr>
        <w:trPr>
          <w:trHeight w:val="984" w:hRule="exact"/>
        </w:trPr>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позитронная эмиссионная томография и (или) позитронная эмиссионная томография, совмещенная с компьютерной томографией</w:t>
            </w:r>
          </w:p>
        </w:tc>
        <w:tc>
          <w:tcPr>
            <w:vMerge/>
            <w:tcBorders>
              <w:left w:val="single" w:sz="4"/>
              <w:bottom w:val="single" w:sz="4"/>
            </w:tcBorders>
            <w:shd w:val="clear" w:color="auto" w:fill="auto"/>
            <w:vAlign w:val="top"/>
          </w:tcPr>
          <w:p>
            <w:pP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3 866</w:t>
            </w:r>
          </w:p>
        </w:tc>
      </w:tr>
    </w:tbl>
    <w:p>
      <w:pPr>
        <w:spacing w:lineRule="exact" w:line="1"/>
        <w:rPr>
          <w:sz w:val="2"/>
          <w:szCs w:val="2"/>
        </w:rPr>
      </w:pPr>
      <w:r>
        <w:br w:type="page"/>
      </w:r>
    </w:p>
    <w:tbl>
      <w:tblPr>
        <w:tblOverlap w:val="never"/>
        <w:jc w:val="center"/>
        <w:tblLayout w:type="fixed"/>
      </w:tblPr>
      <w:tblGrid>
        <w:gridCol w:w="998"/>
        <w:gridCol w:w="6946"/>
        <w:gridCol w:w="3259"/>
        <w:gridCol w:w="2981"/>
      </w:tblGrid>
      <w:tr>
        <w:trPr>
          <w:trHeight w:val="34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3</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4</w:t>
            </w:r>
          </w:p>
        </w:tc>
      </w:tr>
      <w:tr>
        <w:trPr>
          <w:trHeight w:val="1618" w:hRule="exact"/>
        </w:trPr>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tabs>
                <w:tab w:pos="2078" w:val="left"/>
                <w:tab w:pos="4258" w:val="left"/>
                <w:tab w:pos="4963" w:val="left"/>
              </w:tabs>
              <w:bidi w:val="0"/>
              <w:spacing w:before="0" w:after="0" w:line="240" w:lineRule="auto"/>
              <w:ind w:left="0" w:right="0" w:firstLine="0"/>
              <w:jc w:val="both"/>
            </w:pPr>
            <w:r>
              <w:rPr>
                <w:color w:val="000000"/>
                <w:spacing w:val="0"/>
                <w:w w:val="100"/>
                <w:position w:val="0"/>
                <w:shd w:val="clear" w:color="auto" w:fill="auto"/>
                <w:lang w:val="ru-RU" w:eastAsia="ru-RU" w:bidi="ru-RU"/>
              </w:rPr>
              <w:t>однофотонная эмиссионная компьютерная томография и (или) однофотонная эмиссионная компьютерная томография,</w:t>
              <w:tab/>
              <w:t>совмещенная</w:t>
              <w:tab/>
              <w:t>с</w:t>
              <w:tab/>
              <w:t>компьютерной</w:t>
            </w:r>
          </w:p>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томографией, включая все виды сцинтиграфических исследований</w:t>
            </w:r>
          </w:p>
        </w:tc>
        <w:tc>
          <w:tcPr>
            <w:vMerge w:val="restart"/>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7 027</w:t>
            </w:r>
          </w:p>
        </w:tc>
      </w:tr>
      <w:tr>
        <w:trPr>
          <w:trHeight w:val="65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неинвазивное пренатальное тестирование (определение внеклеточной ДНК плода по крови матери)</w:t>
            </w:r>
          </w:p>
        </w:tc>
        <w:tc>
          <w:tcPr>
            <w:vMerge/>
            <w:tcBorders>
              <w:left w:val="single" w:sz="4"/>
            </w:tcBorders>
            <w:shd w:val="clear" w:color="auto" w:fill="auto"/>
            <w:vAlign w:val="top"/>
          </w:tcPr>
          <w:p>
            <w:pP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1 202</w:t>
            </w:r>
          </w:p>
        </w:tc>
      </w:tr>
      <w:tr>
        <w:trPr>
          <w:trHeight w:val="653"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 xml:space="preserve">определение РНК вируса гепатита С (Нераййз С </w:t>
            </w:r>
            <w:r>
              <w:rPr>
                <w:smallCaps/>
                <w:color w:val="000000"/>
                <w:spacing w:val="0"/>
                <w:w w:val="100"/>
                <w:position w:val="0"/>
                <w:shd w:val="clear" w:color="auto" w:fill="auto"/>
                <w:lang w:val="ru-RU" w:eastAsia="ru-RU" w:bidi="ru-RU"/>
              </w:rPr>
              <w:t>ушдз)</w:t>
            </w:r>
            <w:r>
              <w:rPr>
                <w:color w:val="000000"/>
                <w:spacing w:val="0"/>
                <w:w w:val="100"/>
                <w:position w:val="0"/>
                <w:shd w:val="clear" w:color="auto" w:fill="auto"/>
                <w:lang w:val="ru-RU" w:eastAsia="ru-RU" w:bidi="ru-RU"/>
              </w:rPr>
              <w:t xml:space="preserve"> в крови методом ПЦР</w:t>
            </w:r>
          </w:p>
        </w:tc>
        <w:tc>
          <w:tcPr>
            <w:vMerge/>
            <w:tcBorders>
              <w:left w:val="single" w:sz="4"/>
            </w:tcBorders>
            <w:shd w:val="clear" w:color="auto" w:fill="auto"/>
            <w:vAlign w:val="top"/>
          </w:tcPr>
          <w:p>
            <w:pP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2 305</w:t>
            </w:r>
          </w:p>
        </w:tc>
      </w:tr>
      <w:tr>
        <w:trPr>
          <w:trHeight w:val="974"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лабораторная диагностика для пациентов с хроническим вирусным гепатитом С (оценка стадии фиброза, определение генотипа ВГС)</w:t>
            </w:r>
          </w:p>
        </w:tc>
        <w:tc>
          <w:tcPr>
            <w:vMerge/>
            <w:tcBorders>
              <w:left w:val="single" w:sz="4"/>
            </w:tcBorders>
            <w:shd w:val="clear" w:color="auto" w:fill="auto"/>
            <w:vAlign w:val="top"/>
          </w:tcPr>
          <w:p>
            <w:pP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1 155</w:t>
            </w:r>
          </w:p>
        </w:tc>
      </w:tr>
      <w:tr>
        <w:trPr>
          <w:trHeight w:val="1301"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 ведение школ для больных с хроническими неинфекционными заболеваниями, школ для беременных и по вопросам грудного вскармливания, в</w:t>
            </w:r>
          </w:p>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том числе</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комплексных посещений</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390 600</w:t>
            </w:r>
          </w:p>
        </w:tc>
      </w:tr>
      <w:tr>
        <w:trPr>
          <w:trHeight w:val="326"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ведение школ для больных сахарным диабетом</w:t>
            </w:r>
          </w:p>
        </w:tc>
        <w:tc>
          <w:tcPr>
            <w:vMerge/>
            <w:tcBorders>
              <w:left w:val="single" w:sz="4"/>
            </w:tcBorders>
            <w:shd w:val="clear" w:color="auto" w:fill="auto"/>
            <w:vAlign w:val="top"/>
          </w:tcPr>
          <w:p>
            <w:pP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10 439</w:t>
            </w:r>
          </w:p>
        </w:tc>
      </w:tr>
      <w:tr>
        <w:trPr>
          <w:trHeight w:val="336"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 диспансерное наблюдение, в том числе по поводу</w:t>
            </w:r>
          </w:p>
        </w:tc>
        <w:tc>
          <w:tcPr>
            <w:vMerge/>
            <w:tcBorders>
              <w:left w:val="single" w:sz="4"/>
            </w:tcBorders>
            <w:shd w:val="clear" w:color="auto" w:fill="auto"/>
            <w:vAlign w:val="top"/>
          </w:tcPr>
          <w:p>
            <w:pP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511 771</w:t>
            </w:r>
          </w:p>
        </w:tc>
      </w:tr>
      <w:tr>
        <w:trPr>
          <w:trHeight w:val="331"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онкологических заболеваний</w:t>
            </w:r>
          </w:p>
        </w:tc>
        <w:tc>
          <w:tcPr>
            <w:vMerge/>
            <w:tcBorders>
              <w:left w:val="single" w:sz="4"/>
            </w:tcBorders>
            <w:shd w:val="clear" w:color="auto" w:fill="auto"/>
            <w:vAlign w:val="top"/>
          </w:tcPr>
          <w:p>
            <w:pP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83 683</w:t>
            </w:r>
          </w:p>
        </w:tc>
      </w:tr>
      <w:tr>
        <w:trPr>
          <w:trHeight w:val="331"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сахарного диабета</w:t>
            </w:r>
          </w:p>
        </w:tc>
        <w:tc>
          <w:tcPr>
            <w:vMerge/>
            <w:tcBorders>
              <w:left w:val="single" w:sz="4"/>
            </w:tcBorders>
            <w:shd w:val="clear" w:color="auto" w:fill="auto"/>
            <w:vAlign w:val="top"/>
          </w:tcPr>
          <w:p>
            <w:pP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111 081</w:t>
            </w:r>
          </w:p>
        </w:tc>
      </w:tr>
      <w:tr>
        <w:trPr>
          <w:trHeight w:val="331"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болезней системы кровообращения</w:t>
            </w:r>
          </w:p>
        </w:tc>
        <w:tc>
          <w:tcPr>
            <w:vMerge/>
            <w:tcBorders>
              <w:left w:val="single" w:sz="4"/>
            </w:tcBorders>
            <w:shd w:val="clear" w:color="auto" w:fill="auto"/>
            <w:vAlign w:val="top"/>
          </w:tcPr>
          <w:p>
            <w:pP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258 168</w:t>
            </w:r>
          </w:p>
        </w:tc>
      </w:tr>
      <w:tr>
        <w:trPr>
          <w:trHeight w:val="653"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 дистанционное наблюдение за состоянием здоровья пациентов, в том числе</w:t>
            </w:r>
          </w:p>
        </w:tc>
        <w:tc>
          <w:tcPr>
            <w:vMerge/>
            <w:tcBorders>
              <w:left w:val="single" w:sz="4"/>
            </w:tcBorders>
            <w:shd w:val="clear" w:color="auto" w:fill="auto"/>
            <w:vAlign w:val="top"/>
          </w:tcPr>
          <w:p>
            <w:pP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33 542</w:t>
            </w:r>
          </w:p>
        </w:tc>
      </w:tr>
      <w:tr>
        <w:trPr>
          <w:trHeight w:val="336"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пациентов с сахарным диабетом</w:t>
            </w:r>
          </w:p>
        </w:tc>
        <w:tc>
          <w:tcPr>
            <w:vMerge/>
            <w:tcBorders>
              <w:left w:val="single" w:sz="4"/>
            </w:tcBorders>
            <w:shd w:val="clear" w:color="auto" w:fill="auto"/>
            <w:vAlign w:val="top"/>
          </w:tcPr>
          <w:p>
            <w:pP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1 802</w:t>
            </w:r>
          </w:p>
        </w:tc>
      </w:tr>
      <w:tr>
        <w:trPr>
          <w:trHeight w:val="331"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пациентов с артериальной гипертензией</w:t>
            </w:r>
          </w:p>
        </w:tc>
        <w:tc>
          <w:tcPr>
            <w:vMerge/>
            <w:tcBorders>
              <w:left w:val="single" w:sz="4"/>
            </w:tcBorders>
            <w:shd w:val="clear" w:color="auto" w:fill="auto"/>
            <w:vAlign w:val="top"/>
          </w:tcPr>
          <w:p>
            <w:pP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31 740</w:t>
            </w:r>
          </w:p>
        </w:tc>
      </w:tr>
      <w:tr>
        <w:trPr>
          <w:trHeight w:val="662" w:hRule="exact"/>
        </w:trPr>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 xml:space="preserve">- посещения </w:t>
            </w:r>
            <w:r>
              <w:rPr>
                <w:i/>
                <w:iCs/>
                <w:color w:val="000000"/>
                <w:spacing w:val="0"/>
                <w:w w:val="100"/>
                <w:position w:val="0"/>
                <w:shd w:val="clear" w:color="auto" w:fill="auto"/>
                <w:lang w:val="ru-RU" w:eastAsia="ru-RU" w:bidi="ru-RU"/>
              </w:rPr>
              <w:t>с</w:t>
            </w:r>
            <w:r>
              <w:rPr>
                <w:color w:val="000000"/>
                <w:spacing w:val="0"/>
                <w:w w:val="100"/>
                <w:position w:val="0"/>
                <w:shd w:val="clear" w:color="auto" w:fill="auto"/>
                <w:lang w:val="ru-RU" w:eastAsia="ru-RU" w:bidi="ru-RU"/>
              </w:rPr>
              <w:t xml:space="preserve"> профилактическими целями центров здоровья, включая диспансерное наблюдение</w:t>
            </w:r>
          </w:p>
        </w:tc>
        <w:tc>
          <w:tcPr>
            <w:vMerge/>
            <w:tcBorders>
              <w:left w:val="single" w:sz="4"/>
              <w:bottom w:val="single" w:sz="4"/>
            </w:tcBorders>
            <w:shd w:val="clear" w:color="auto" w:fill="auto"/>
            <w:vAlign w:val="top"/>
          </w:tcPr>
          <w:p>
            <w:pP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60 985</w:t>
            </w:r>
          </w:p>
        </w:tc>
      </w:tr>
    </w:tbl>
    <w:p>
      <w:pPr>
        <w:spacing w:lineRule="exact" w:line="1"/>
        <w:rPr>
          <w:sz w:val="2"/>
          <w:szCs w:val="2"/>
        </w:rPr>
      </w:pPr>
      <w:r>
        <w:br w:type="page"/>
      </w:r>
    </w:p>
    <w:tbl>
      <w:tblPr>
        <w:tblOverlap w:val="never"/>
        <w:jc w:val="center"/>
        <w:tblLayout w:type="fixed"/>
      </w:tblPr>
      <w:tblGrid>
        <w:gridCol w:w="998"/>
        <w:gridCol w:w="6946"/>
        <w:gridCol w:w="3259"/>
        <w:gridCol w:w="2981"/>
      </w:tblGrid>
      <w:tr>
        <w:trPr>
          <w:trHeight w:val="34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3</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4</w:t>
            </w:r>
          </w:p>
        </w:tc>
      </w:tr>
      <w:tr>
        <w:trPr>
          <w:trHeight w:val="1296"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Медицинская помощь, оказываемая в условиях дневных стационаров в рамках территориальной программы ОМС, за исключением медицинской реабилитации, в том числе</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случаев лечения</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128 812*</w:t>
            </w:r>
          </w:p>
        </w:tc>
      </w:tr>
      <w:tr>
        <w:trPr>
          <w:trHeight w:val="331"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по профилю «онкология»</w:t>
            </w:r>
          </w:p>
        </w:tc>
        <w:tc>
          <w:tcPr>
            <w:vMerge/>
            <w:tcBorders>
              <w:left w:val="single" w:sz="4"/>
            </w:tcBorders>
            <w:shd w:val="clear" w:color="auto" w:fill="auto"/>
            <w:vAlign w:val="top"/>
          </w:tcPr>
          <w:p>
            <w:pP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26 726</w:t>
            </w:r>
          </w:p>
        </w:tc>
      </w:tr>
      <w:tr>
        <w:trPr>
          <w:trHeight w:val="336"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при экстракорпоральном оплодотворении</w:t>
            </w:r>
          </w:p>
        </w:tc>
        <w:tc>
          <w:tcPr>
            <w:vMerge/>
            <w:tcBorders>
              <w:left w:val="single" w:sz="4"/>
            </w:tcBorders>
            <w:shd w:val="clear" w:color="auto" w:fill="auto"/>
            <w:vAlign w:val="top"/>
          </w:tcPr>
          <w:p>
            <w:pP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1 376</w:t>
            </w:r>
          </w:p>
        </w:tc>
      </w:tr>
      <w:tr>
        <w:trPr>
          <w:trHeight w:val="331"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больным с вирусным гепатитом С</w:t>
            </w:r>
          </w:p>
        </w:tc>
        <w:tc>
          <w:tcPr>
            <w:vMerge/>
            <w:tcBorders>
              <w:left w:val="single" w:sz="4"/>
            </w:tcBorders>
            <w:shd w:val="clear" w:color="auto" w:fill="auto"/>
            <w:vAlign w:val="top"/>
          </w:tcPr>
          <w:p>
            <w:pP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2 393</w:t>
            </w:r>
          </w:p>
        </w:tc>
      </w:tr>
      <w:tr>
        <w:trPr>
          <w:trHeight w:val="1296"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Медицинская помощь, оказываемая в стационарных условиях в рамках территориальной программы ОМС, за исключением медицинской реабилитации, в том числе</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случаев госпитализации</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327 902*</w:t>
            </w:r>
          </w:p>
        </w:tc>
      </w:tr>
      <w:tr>
        <w:trPr>
          <w:trHeight w:val="331"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по профилю «онкология»</w:t>
            </w:r>
          </w:p>
        </w:tc>
        <w:tc>
          <w:tcPr>
            <w:vMerge/>
            <w:tcBorders>
              <w:left w:val="single" w:sz="4"/>
            </w:tcBorders>
            <w:shd w:val="clear" w:color="auto" w:fill="auto"/>
            <w:vAlign w:val="top"/>
          </w:tcPr>
          <w:p>
            <w:pP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19 068</w:t>
            </w:r>
          </w:p>
        </w:tc>
      </w:tr>
      <w:tr>
        <w:trPr>
          <w:trHeight w:val="331"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стентирование коронарных артерий</w:t>
            </w:r>
          </w:p>
        </w:tc>
        <w:tc>
          <w:tcPr>
            <w:vMerge/>
            <w:tcBorders>
              <w:left w:val="single" w:sz="4"/>
            </w:tcBorders>
            <w:shd w:val="clear" w:color="auto" w:fill="auto"/>
            <w:vAlign w:val="top"/>
          </w:tcPr>
          <w:p>
            <w:pP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4 323</w:t>
            </w:r>
          </w:p>
        </w:tc>
      </w:tr>
      <w:tr>
        <w:trPr>
          <w:trHeight w:val="653"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tabs>
                <w:tab w:pos="3528" w:val="left"/>
              </w:tabs>
              <w:bidi w:val="0"/>
              <w:spacing w:before="0" w:after="0" w:line="240" w:lineRule="auto"/>
              <w:ind w:left="0" w:right="0" w:firstLine="0"/>
              <w:jc w:val="both"/>
            </w:pPr>
            <w:r>
              <w:rPr>
                <w:color w:val="000000"/>
                <w:spacing w:val="0"/>
                <w:w w:val="100"/>
                <w:position w:val="0"/>
                <w:shd w:val="clear" w:color="auto" w:fill="auto"/>
                <w:lang w:val="ru-RU" w:eastAsia="ru-RU" w:bidi="ru-RU"/>
              </w:rPr>
              <w:t>имплантация</w:t>
              <w:tab/>
              <w:t>частотно-адаптированного</w:t>
            </w:r>
          </w:p>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кардиостимулятора взрослым</w:t>
            </w:r>
          </w:p>
        </w:tc>
        <w:tc>
          <w:tcPr>
            <w:vMerge/>
            <w:tcBorders>
              <w:left w:val="single" w:sz="4"/>
            </w:tcBorders>
            <w:shd w:val="clear" w:color="auto" w:fill="auto"/>
            <w:vAlign w:val="top"/>
          </w:tcPr>
          <w:p>
            <w:pP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799</w:t>
            </w:r>
          </w:p>
        </w:tc>
      </w:tr>
      <w:tr>
        <w:trPr>
          <w:trHeight w:val="658"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tabs>
                <w:tab w:pos="2698" w:val="left"/>
                <w:tab w:pos="4733" w:val="left"/>
              </w:tabs>
              <w:bidi w:val="0"/>
              <w:spacing w:before="0" w:after="0" w:line="240" w:lineRule="auto"/>
              <w:ind w:left="0" w:right="0" w:firstLine="0"/>
              <w:jc w:val="both"/>
            </w:pPr>
            <w:r>
              <w:rPr>
                <w:color w:val="000000"/>
                <w:spacing w:val="0"/>
                <w:w w:val="100"/>
                <w:position w:val="0"/>
                <w:shd w:val="clear" w:color="auto" w:fill="auto"/>
                <w:lang w:val="ru-RU" w:eastAsia="ru-RU" w:bidi="ru-RU"/>
              </w:rPr>
              <w:t>эндоваскулярная</w:t>
              <w:tab/>
              <w:t>деструкция</w:t>
              <w:tab/>
              <w:t>дополнительных</w:t>
            </w:r>
          </w:p>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проводящих путей и аритмогенных зон сердца</w:t>
            </w:r>
          </w:p>
        </w:tc>
        <w:tc>
          <w:tcPr>
            <w:vMerge/>
            <w:tcBorders>
              <w:left w:val="single" w:sz="4"/>
            </w:tcBorders>
            <w:shd w:val="clear" w:color="auto" w:fill="auto"/>
            <w:vAlign w:val="top"/>
          </w:tcPr>
          <w:p>
            <w:pP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351</w:t>
            </w:r>
          </w:p>
        </w:tc>
      </w:tr>
      <w:tr>
        <w:trPr>
          <w:trHeight w:val="653"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оперативные вмешательства на брахиоцефальных артериях (стентирование или эндартерэктомия)</w:t>
            </w:r>
          </w:p>
        </w:tc>
        <w:tc>
          <w:tcPr>
            <w:vMerge/>
            <w:tcBorders>
              <w:left w:val="single" w:sz="4"/>
            </w:tcBorders>
            <w:shd w:val="clear" w:color="auto" w:fill="auto"/>
            <w:vAlign w:val="top"/>
          </w:tcPr>
          <w:p>
            <w:pP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877</w:t>
            </w:r>
          </w:p>
        </w:tc>
      </w:tr>
      <w:tr>
        <w:trPr>
          <w:trHeight w:val="331"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трансплантация почки</w:t>
            </w:r>
          </w:p>
        </w:tc>
        <w:tc>
          <w:tcPr>
            <w:vMerge/>
            <w:tcBorders>
              <w:left w:val="single" w:sz="4"/>
            </w:tcBorders>
            <w:shd w:val="clear" w:color="auto" w:fill="auto"/>
            <w:vAlign w:val="top"/>
          </w:tcPr>
          <w:p>
            <w:pP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46</w:t>
            </w:r>
          </w:p>
        </w:tc>
      </w:tr>
      <w:tr>
        <w:trPr>
          <w:trHeight w:val="974"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tabs>
                <w:tab w:pos="2424" w:val="left"/>
                <w:tab w:pos="5026" w:val="left"/>
                <w:tab w:pos="5885" w:val="left"/>
              </w:tabs>
              <w:bidi w:val="0"/>
              <w:spacing w:before="0" w:after="0" w:line="240" w:lineRule="auto"/>
              <w:ind w:left="0" w:right="0" w:firstLine="0"/>
              <w:jc w:val="both"/>
            </w:pPr>
            <w:r>
              <w:rPr>
                <w:color w:val="000000"/>
                <w:spacing w:val="0"/>
                <w:w w:val="100"/>
                <w:position w:val="0"/>
                <w:shd w:val="clear" w:color="auto" w:fill="auto"/>
                <w:lang w:val="ru-RU" w:eastAsia="ru-RU" w:bidi="ru-RU"/>
              </w:rPr>
              <w:t>Медицинская помощь, оказываемая по профилю «медицинская</w:t>
              <w:tab/>
              <w:t>реабилитация»,</w:t>
              <w:tab/>
              <w:t>в</w:t>
              <w:tab/>
              <w:t>рамках</w:t>
            </w:r>
          </w:p>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территориальной программы ОМС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X</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X</w:t>
            </w:r>
          </w:p>
        </w:tc>
      </w:tr>
      <w:tr>
        <w:trPr>
          <w:trHeight w:val="336"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 в амбулаторных условиях</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комплексных посещений</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6 262</w:t>
            </w:r>
          </w:p>
        </w:tc>
      </w:tr>
      <w:tr>
        <w:trPr>
          <w:trHeight w:val="331" w:hRule="exact"/>
        </w:trPr>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 в условиях дневных стационаров</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случаев лечения</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5 225</w:t>
            </w:r>
          </w:p>
        </w:tc>
      </w:tr>
      <w:tr>
        <w:trPr>
          <w:trHeight w:val="341" w:hRule="exact"/>
        </w:trPr>
        <w:tc>
          <w:tcPr>
            <w:vMerge/>
            <w:tcBorders>
              <w:left w:val="single" w:sz="4"/>
              <w:bottom w:val="single" w:sz="4"/>
            </w:tcBorders>
            <w:shd w:val="clear" w:color="auto" w:fill="auto"/>
            <w:vAlign w:val="top"/>
          </w:tcPr>
          <w:p>
            <w:pP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 в стационарных условиях</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случаев госпитализации</w:t>
            </w:r>
          </w:p>
        </w:tc>
        <w:tc>
          <w:tcPr>
            <w:tcBorders>
              <w:top w:val="single" w:sz="4"/>
              <w:left w:val="single" w:sz="4"/>
              <w:bottom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10 902</w:t>
            </w:r>
          </w:p>
        </w:tc>
      </w:tr>
    </w:tbl>
    <w:p>
      <w:pPr>
        <w:pStyle w:val="Style4"/>
        <w:keepNext w:val="0"/>
        <w:keepLines w:val="0"/>
        <w:widowControl w:val="0"/>
        <w:shd w:val="clear" w:color="auto" w:fill="auto"/>
        <w:bidi w:val="0"/>
        <w:spacing w:before="0" w:after="0" w:line="240" w:lineRule="auto"/>
        <w:ind w:left="0" w:right="0" w:firstLine="720"/>
        <w:jc w:val="both"/>
        <w:sectPr>
          <w:headerReference w:type="default" r:id="rId33"/>
          <w:footnotePr>
            <w:pos w:val="pageBottom"/>
            <w:numFmt w:val="decimal"/>
            <w:numRestart w:val="continuous"/>
          </w:footnotePr>
          <w:pgSz w:w="16840" w:h="11900" w:orient="landscape"/>
          <w:pgMar w:top="1123" w:right="499" w:bottom="1015" w:left="818" w:header="0" w:footer="587" w:gutter="0"/>
          <w:pgNumType w:start="2"/>
          <w:cols w:space="720"/>
          <w:noEndnote/>
          <w:rtlGutter w:val="0"/>
          <w:docGrid w:linePitch="360"/>
        </w:sectPr>
      </w:pPr>
      <w:r>
        <w:rPr>
          <w:color w:val="000000"/>
          <w:spacing w:val="0"/>
          <w:w w:val="100"/>
          <w:position w:val="0"/>
          <w:shd w:val="clear" w:color="auto" w:fill="auto"/>
          <w:lang w:val="ru-RU" w:eastAsia="ru-RU" w:bidi="ru-RU"/>
        </w:rPr>
        <w:t>* Включая объемы специализированной, в том числе высокотехнологичной, медицинской помощи, оказываемой в стационарных условиях и в условиях дневных стационаров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которые составляют в стационарных условиях - 0 случаев госпитализации, в условиях дневных стационаров - 290 случаев лечения.</w:t>
      </w:r>
    </w:p>
    <w:p>
      <w:pPr>
        <w:pStyle w:val="Style4"/>
        <w:keepNext w:val="0"/>
        <w:keepLines w:val="0"/>
        <w:widowControl w:val="0"/>
        <w:shd w:val="clear" w:color="auto" w:fill="auto"/>
        <w:bidi w:val="0"/>
        <w:spacing w:before="0" w:after="540" w:line="240" w:lineRule="auto"/>
        <w:ind w:left="8320" w:right="0" w:firstLine="0"/>
        <w:jc w:val="right"/>
      </w:pPr>
      <w:r>
        <w:rPr>
          <w:color w:val="000000"/>
          <w:spacing w:val="0"/>
          <w:w w:val="100"/>
          <w:position w:val="0"/>
          <w:shd w:val="clear" w:color="auto" w:fill="auto"/>
          <w:lang w:val="ru-RU" w:eastAsia="ru-RU" w:bidi="ru-RU"/>
        </w:rPr>
        <w:t>Приложение № 6 к Территориальной программе государственных гарантий бесплатного оказания гражданам медицинской помощи в Омской области на 2026 год и на плановый период 2027 и 2028 годов</w:t>
      </w:r>
    </w:p>
    <w:p>
      <w:pPr>
        <w:pStyle w:val="Style4"/>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ru-RU" w:eastAsia="ru-RU" w:bidi="ru-RU"/>
        </w:rPr>
        <w:t>ОБЪЕМ</w:t>
        <w:br/>
        <w:t>медицинской помощи в амбулаторных условиях, оказываемой с профилактической целью и иными целями,</w:t>
        <w:br/>
        <w:t>на 1 жителя / застрахованное лицо на 2026 год</w:t>
      </w:r>
    </w:p>
    <w:tbl>
      <w:tblPr>
        <w:tblOverlap w:val="never"/>
        <w:jc w:val="center"/>
        <w:tblLayout w:type="fixed"/>
      </w:tblPr>
      <w:tblGrid>
        <w:gridCol w:w="998"/>
        <w:gridCol w:w="8789"/>
        <w:gridCol w:w="2266"/>
        <w:gridCol w:w="2280"/>
      </w:tblGrid>
      <w:tr>
        <w:trPr>
          <w:trHeight w:val="662"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Номер строки</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Норматив объема медицинской помощи в амбулаторных условиях, оказываемой с профилактической целью и иными целями, на 1 жителя / застрахованное лицо</w:t>
            </w:r>
          </w:p>
        </w:tc>
        <w:tc>
          <w:tcPr>
            <w:gridSpan w:val="2"/>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Значение по источнику финансового обеспечения</w:t>
            </w:r>
          </w:p>
        </w:tc>
      </w:tr>
      <w:tr>
        <w:trPr>
          <w:trHeight w:val="1296"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Бюджетные ассигнования областного бюджета</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Средства обязательного медицинского страхования</w:t>
            </w:r>
          </w:p>
        </w:tc>
      </w:tr>
      <w:tr>
        <w:trPr>
          <w:trHeight w:val="653"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Объем посещений с профилактической целью и иными целями (сумма строк 2 + 3+ 4 + 5 + 12 + 13), всего</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0,694605</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3,707171</w:t>
            </w:r>
          </w:p>
        </w:tc>
      </w:tr>
      <w:tr>
        <w:trPr>
          <w:trHeight w:val="331"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в том числе</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97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I. Норматив объема комплексных посещений для проведения профилактических медицинских осмотров (включая 1 -е посещение для проведения диспансерного наблюдения)</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0,260168</w:t>
            </w:r>
          </w:p>
        </w:tc>
      </w:tr>
      <w:tr>
        <w:trPr>
          <w:trHeight w:val="653"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II. Норматив объема комплексных посещений для проведения диспансеризации, в том числе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0,439948</w:t>
            </w:r>
          </w:p>
        </w:tc>
      </w:tr>
      <w:tr>
        <w:trPr>
          <w:trHeight w:val="3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3.1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для проведения углубленной диспансеризации</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0,050758</w:t>
            </w:r>
          </w:p>
        </w:tc>
      </w:tr>
      <w:tr>
        <w:trPr>
          <w:trHeight w:val="989"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4</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III. Норматив объема комплексных посещений для проведения диспансеризации для оценки репродуктивного здоровья женщин и мужчин</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0,145709</w:t>
            </w:r>
          </w:p>
        </w:tc>
      </w:tr>
    </w:tbl>
    <w:p>
      <w:pPr>
        <w:sectPr>
          <w:headerReference w:type="default" r:id="rId34"/>
          <w:footnotePr>
            <w:pos w:val="pageBottom"/>
            <w:numFmt w:val="decimal"/>
            <w:numRestart w:val="continuous"/>
          </w:footnotePr>
          <w:pgSz w:w="16840" w:h="11900" w:orient="landscape"/>
          <w:pgMar w:top="1076" w:right="812" w:bottom="802" w:left="1695" w:header="648" w:footer="374" w:gutter="0"/>
          <w:pgNumType w:start="194"/>
          <w:cols w:space="720"/>
          <w:noEndnote/>
          <w:rtlGutter w:val="0"/>
          <w:docGrid w:linePitch="360"/>
        </w:sectPr>
      </w:pPr>
    </w:p>
    <w:tbl>
      <w:tblPr>
        <w:tblOverlap w:val="never"/>
        <w:jc w:val="center"/>
        <w:tblLayout w:type="fixed"/>
      </w:tblPr>
      <w:tblGrid>
        <w:gridCol w:w="998"/>
        <w:gridCol w:w="8789"/>
        <w:gridCol w:w="2266"/>
        <w:gridCol w:w="2280"/>
      </w:tblGrid>
      <w:tr>
        <w:trPr>
          <w:trHeight w:val="658"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Номер строки</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Норматив объема медицинской помощи в амбулаторных условиях, оказываемой с профилактической целью и иными целями, на 1 жителя / застрахованное лицо</w:t>
            </w:r>
          </w:p>
        </w:tc>
        <w:tc>
          <w:tcPr>
            <w:gridSpan w:val="2"/>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Значение по источнику финансового обеспечения</w:t>
            </w:r>
          </w:p>
        </w:tc>
      </w:tr>
      <w:tr>
        <w:trPr>
          <w:trHeight w:val="1296"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Бюджетные ассигнования областного бюджета</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Средства обязательного медицинского страхования</w:t>
            </w:r>
          </w:p>
        </w:tc>
      </w:tr>
      <w:tr>
        <w:trPr>
          <w:trHeight w:val="3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4.1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женщины</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0,074587</w:t>
            </w:r>
          </w:p>
        </w:tc>
      </w:tr>
      <w:tr>
        <w:trPr>
          <w:trHeight w:val="33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4.2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мужчины</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0,071122</w:t>
            </w:r>
          </w:p>
        </w:tc>
      </w:tr>
      <w:tr>
        <w:trPr>
          <w:trHeight w:val="653"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IV. Норматив посещений с иными целями (сумма строк 6 + 9 + 10 + 11), в том числе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0,694605</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2,618238</w:t>
            </w:r>
          </w:p>
        </w:tc>
      </w:tr>
      <w:tr>
        <w:trPr>
          <w:trHeight w:val="653"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норматив посещений для паллиативной медицинской помощи (сумма строк 7 + 8), в том числе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0,03</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w:t>
            </w:r>
          </w:p>
        </w:tc>
      </w:tr>
      <w:tr>
        <w:trPr>
          <w:trHeight w:val="97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норматив посещений по паллиативной медицинской помощи без учета посещений на дому патронажными бригадами паллиативной медицинской помощи</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0,022</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w:t>
            </w:r>
          </w:p>
        </w:tc>
      </w:tr>
      <w:tr>
        <w:trPr>
          <w:trHeight w:val="33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норматив посещений на дому выездными патронажными бригадами</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0,008</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w:t>
            </w:r>
          </w:p>
        </w:tc>
      </w:tr>
      <w:tr>
        <w:trPr>
          <w:trHeight w:val="3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объем разовых посещений в связи с заболеванием</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0,404605</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1,698605</w:t>
            </w:r>
          </w:p>
        </w:tc>
      </w:tr>
      <w:tr>
        <w:trPr>
          <w:trHeight w:val="653"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10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объем посещений с другими целями (патронаж, выдача справок и иных медицинских документов и др.)</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0,2</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0,507255</w:t>
            </w:r>
          </w:p>
        </w:tc>
      </w:tr>
      <w:tr>
        <w:trPr>
          <w:trHeight w:val="653"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11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объем посещений медицинских работников, имеющих среднее медицинское образование, ведущих самостоятельный прием</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0,03</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0,412378</w:t>
            </w:r>
          </w:p>
        </w:tc>
      </w:tr>
      <w:tr>
        <w:trPr>
          <w:trHeight w:val="3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12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V. Посещения с профилактическими целями центров здоровья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0,032831</w:t>
            </w:r>
          </w:p>
        </w:tc>
      </w:tr>
      <w:tr>
        <w:trPr>
          <w:trHeight w:val="65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13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VI. Объем комплексных посещений для ведения школ для больных с хроническими неинфекционными заболеваниями, в том числе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0,210277</w:t>
            </w:r>
          </w:p>
        </w:tc>
      </w:tr>
      <w:tr>
        <w:trPr>
          <w:trHeight w:val="3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ru-RU" w:eastAsia="ru-RU" w:bidi="ru-RU"/>
              </w:rPr>
              <w:t>14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ru-RU" w:eastAsia="ru-RU" w:bidi="ru-RU"/>
              </w:rPr>
              <w:t>ведение школ для больных сахарным диабетом</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0,005620</w:t>
            </w:r>
          </w:p>
        </w:tc>
      </w:tr>
      <w:tr>
        <w:trPr>
          <w:trHeight w:val="331" w:hRule="exact"/>
        </w:trPr>
        <w:tc>
          <w:tcPr>
            <w:gridSpan w:val="4"/>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Справочно</w:t>
            </w:r>
          </w:p>
        </w:tc>
      </w:tr>
      <w:tr>
        <w:trPr>
          <w:trHeight w:val="336" w:hRule="exact"/>
        </w:trPr>
        <w:tc>
          <w:tcPr>
            <w:gridSpan w:val="2"/>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объем посещений центров здоровья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0,032831</w:t>
            </w:r>
          </w:p>
        </w:tc>
      </w:tr>
      <w:tr>
        <w:trPr>
          <w:trHeight w:val="326" w:hRule="exact"/>
        </w:trPr>
        <w:tc>
          <w:tcPr>
            <w:gridSpan w:val="2"/>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объем посещений центров амбулаторной онкологической помощи</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0,099096</w:t>
            </w:r>
          </w:p>
        </w:tc>
      </w:tr>
      <w:tr>
        <w:trPr>
          <w:trHeight w:val="341" w:hRule="exact"/>
        </w:trPr>
        <w:tc>
          <w:tcPr>
            <w:gridSpan w:val="2"/>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объем посещений для проведения 2 этапа диспансеризации</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w:t>
            </w:r>
          </w:p>
        </w:tc>
        <w:tc>
          <w:tcPr>
            <w:tcBorders>
              <w:top w:val="single" w:sz="4"/>
              <w:left w:val="single" w:sz="4"/>
              <w:bottom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0,117301</w:t>
            </w:r>
          </w:p>
        </w:tc>
      </w:tr>
    </w:tbl>
    <w:p>
      <w:pPr>
        <w:sectPr>
          <w:headerReference w:type="default" r:id="rId35"/>
          <w:footnotePr>
            <w:pos w:val="pageBottom"/>
            <w:numFmt w:val="decimal"/>
            <w:numRestart w:val="continuous"/>
          </w:footnotePr>
          <w:pgSz w:w="16840" w:h="11900" w:orient="landscape"/>
          <w:pgMar w:top="1076" w:right="812" w:bottom="802" w:left="1695" w:header="0" w:footer="374" w:gutter="0"/>
          <w:pgNumType w:start="2"/>
          <w:cols w:space="720"/>
          <w:noEndnote/>
          <w:rtlGutter w:val="0"/>
          <w:docGrid w:linePitch="360"/>
        </w:sectPr>
      </w:pPr>
    </w:p>
    <w:tbl>
      <w:tblPr>
        <w:tblOverlap w:val="never"/>
        <w:jc w:val="center"/>
        <w:tblLayout w:type="fixed"/>
      </w:tblPr>
      <w:tblGrid>
        <w:gridCol w:w="998"/>
        <w:gridCol w:w="8789"/>
        <w:gridCol w:w="2266"/>
        <w:gridCol w:w="2280"/>
      </w:tblGrid>
      <w:tr>
        <w:trPr>
          <w:trHeight w:val="658"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Номер строки</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Норматив объема медицинской помощи в амбулаторных условиях, оказываемой с профилактической целью и иными целями, на 1 жителя / застрахованное лицо</w:t>
            </w:r>
          </w:p>
        </w:tc>
        <w:tc>
          <w:tcPr>
            <w:gridSpan w:val="2"/>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Значение по источнику финансового обеспечения</w:t>
            </w:r>
          </w:p>
        </w:tc>
      </w:tr>
      <w:tr>
        <w:trPr>
          <w:trHeight w:val="1296"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Бюджетные ассигнования областного бюджета</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Средства обязательного медицинского страхования</w:t>
            </w:r>
          </w:p>
        </w:tc>
      </w:tr>
      <w:tr>
        <w:trPr>
          <w:trHeight w:val="667" w:hRule="exact"/>
        </w:trPr>
        <w:tc>
          <w:tcPr>
            <w:gridSpan w:val="2"/>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объем комплексных посещений для проведения диспансерного наблюдения (за исключением 1 -го посещения)</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0,275509</w:t>
            </w:r>
          </w:p>
        </w:tc>
      </w:tr>
    </w:tbl>
    <w:p>
      <w:pPr>
        <w:sectPr>
          <w:headerReference w:type="default" r:id="rId36"/>
          <w:footnotePr>
            <w:pos w:val="pageBottom"/>
            <w:numFmt w:val="decimal"/>
            <w:numRestart w:val="continuous"/>
          </w:footnotePr>
          <w:pgSz w:w="16840" w:h="11900" w:orient="landscape"/>
          <w:pgMar w:top="1076" w:right="812" w:bottom="802" w:left="1695" w:header="648" w:footer="374" w:gutter="0"/>
          <w:pgNumType w:start="196"/>
          <w:cols w:space="720"/>
          <w:noEndnote/>
          <w:rtlGutter w:val="0"/>
          <w:docGrid w:linePitch="360"/>
        </w:sectPr>
      </w:pPr>
    </w:p>
    <w:p>
      <w:pPr>
        <w:pStyle w:val="Style4"/>
        <w:keepNext w:val="0"/>
        <w:keepLines w:val="0"/>
        <w:widowControl w:val="0"/>
        <w:shd w:val="clear" w:color="auto" w:fill="auto"/>
        <w:bidi w:val="0"/>
        <w:spacing w:before="0" w:after="320" w:line="240" w:lineRule="auto"/>
        <w:ind w:left="9280" w:right="140" w:firstLine="0"/>
        <w:jc w:val="right"/>
      </w:pPr>
      <w:r>
        <w:rPr>
          <w:color w:val="000000"/>
          <w:spacing w:val="0"/>
          <w:w w:val="100"/>
          <w:position w:val="0"/>
          <w:shd w:val="clear" w:color="auto" w:fill="auto"/>
          <w:lang w:val="ru-RU" w:eastAsia="ru-RU" w:bidi="ru-RU"/>
        </w:rPr>
        <w:t>Приложение № 7 к Территориальной программе государственных гарантий бесплатного оказания гражданам медицинской помощи в Омской области на 2026 год и на плановый период 2027 и 2028 годов</w:t>
      </w:r>
    </w:p>
    <w:p>
      <w:pPr>
        <w:pStyle w:val="Style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СТОИМОСТЬ</w:t>
      </w:r>
    </w:p>
    <w:p>
      <w:pPr>
        <w:pStyle w:val="Style4"/>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ru-RU" w:eastAsia="ru-RU" w:bidi="ru-RU"/>
        </w:rPr>
        <w:t>Территориальной программы государственных гарантий бесплатного оказания гражданам медицинской помощи в Омской</w:t>
        <w:br/>
        <w:t>области на 2026 год и на плановый период 2027 и 2028 годов (далее - территориальная программа) по источникам</w:t>
        <w:br/>
        <w:t>финансового обеспечения на 2026 год и на плановый период 2027 и 2028 годов</w:t>
      </w:r>
    </w:p>
    <w:p>
      <w:pPr>
        <w:pStyle w:val="Style4"/>
        <w:keepNext w:val="0"/>
        <w:keepLines w:val="0"/>
        <w:widowControl w:val="0"/>
        <w:shd w:val="clear" w:color="auto" w:fill="auto"/>
        <w:bidi w:val="0"/>
        <w:spacing w:before="0" w:after="320" w:line="240" w:lineRule="auto"/>
        <w:ind w:left="0" w:right="140" w:firstLine="0"/>
        <w:jc w:val="right"/>
      </w:pPr>
      <w:r>
        <w:rPr>
          <w:color w:val="000000"/>
          <w:spacing w:val="0"/>
          <w:w w:val="100"/>
          <w:position w:val="0"/>
          <w:shd w:val="clear" w:color="auto" w:fill="auto"/>
          <w:lang w:val="ru-RU" w:eastAsia="ru-RU" w:bidi="ru-RU"/>
        </w:rPr>
        <w:t>Таблица № 1</w:t>
      </w:r>
    </w:p>
    <w:tbl>
      <w:tblPr>
        <w:tblOverlap w:val="never"/>
        <w:jc w:val="center"/>
        <w:tblLayout w:type="fixed"/>
      </w:tblPr>
      <w:tblGrid>
        <w:gridCol w:w="3125"/>
        <w:gridCol w:w="850"/>
        <w:gridCol w:w="1277"/>
        <w:gridCol w:w="1555"/>
        <w:gridCol w:w="1282"/>
        <w:gridCol w:w="1565"/>
        <w:gridCol w:w="1267"/>
        <w:gridCol w:w="1560"/>
        <w:gridCol w:w="1277"/>
        <w:gridCol w:w="1565"/>
      </w:tblGrid>
      <w:tr>
        <w:trPr>
          <w:trHeight w:val="221"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Источники финансового обеспечения территориальной программы</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 строки</w:t>
            </w:r>
          </w:p>
        </w:tc>
        <w:tc>
          <w:tcPr>
            <w:gridSpan w:val="4"/>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2026 год</w:t>
            </w:r>
          </w:p>
        </w:tc>
        <w:tc>
          <w:tcPr>
            <w:gridSpan w:val="4"/>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Плановый период</w:t>
            </w:r>
          </w:p>
        </w:tc>
      </w:tr>
      <w:tr>
        <w:trPr>
          <w:trHeight w:val="216"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gridSpan w:val="2"/>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Утвержденная стоимость территориальной программы</w:t>
            </w:r>
          </w:p>
        </w:tc>
        <w:tc>
          <w:tcPr>
            <w:gridSpan w:val="2"/>
            <w:vMerge w:val="restart"/>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Утвержденные Законом Омской области «Об областном бюджете на 2026 год и на плановый период 2027 и 2028 годов» расходы на финансовое обеспечение территориальной программы</w:t>
            </w:r>
          </w:p>
        </w:tc>
        <w:tc>
          <w:tcPr>
            <w:gridSpan w:val="2"/>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2027 год</w:t>
            </w:r>
          </w:p>
        </w:tc>
        <w:tc>
          <w:tcPr>
            <w:gridSpan w:val="2"/>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2028 год</w:t>
            </w:r>
          </w:p>
        </w:tc>
      </w:tr>
      <w:tr>
        <w:trPr>
          <w:trHeight w:val="1037"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gridSpan w:val="2"/>
            <w:vMerge/>
            <w:tcBorders>
              <w:left w:val="single" w:sz="4"/>
            </w:tcBorders>
            <w:shd w:val="clear" w:color="auto" w:fill="auto"/>
            <w:vAlign w:val="top"/>
          </w:tcPr>
          <w:p>
            <w:pPr/>
          </w:p>
        </w:tc>
        <w:tc>
          <w:tcPr>
            <w:gridSpan w:val="2"/>
            <w:vMerge/>
            <w:tcBorders>
              <w:left w:val="single" w:sz="4"/>
            </w:tcBorders>
            <w:shd w:val="clear" w:color="auto" w:fill="auto"/>
            <w:vAlign w:val="bottom"/>
          </w:tcPr>
          <w:p>
            <w:pPr/>
          </w:p>
        </w:tc>
        <w:tc>
          <w:tcPr>
            <w:gridSpan w:val="2"/>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Стоимость территориальной программы</w:t>
            </w:r>
          </w:p>
        </w:tc>
        <w:tc>
          <w:tcPr>
            <w:gridSpan w:val="2"/>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Стоимость территориальной программы</w:t>
            </w:r>
          </w:p>
        </w:tc>
      </w:tr>
      <w:tr>
        <w:trPr>
          <w:trHeight w:val="634"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ru-RU" w:eastAsia="ru-RU" w:bidi="ru-RU"/>
              </w:rPr>
              <w:t>всего</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на 1 жителя</w:t>
            </w:r>
          </w:p>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(1 застрахованное лицо) в год</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всего</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на 1 жителя</w:t>
            </w:r>
          </w:p>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(1 застрахованное лицо) в год</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всего</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на 1 жителя</w:t>
            </w:r>
          </w:p>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(1 застрахованное лицо) в год</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всего</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на 1 жителя</w:t>
            </w:r>
          </w:p>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(1 застрахованное лицо) в год</w:t>
            </w:r>
          </w:p>
        </w:tc>
      </w:tr>
      <w:tr>
        <w:trPr>
          <w:trHeight w:val="240"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ru-RU" w:eastAsia="ru-RU" w:bidi="ru-RU"/>
              </w:rPr>
              <w:t>тыс. руб.</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руб.</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тыс. руб.</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руб.</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тыс. руб.</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руб.</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тыс. руб.</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руб.</w:t>
            </w:r>
          </w:p>
        </w:tc>
      </w:tr>
      <w:tr>
        <w:trPr>
          <w:trHeight w:val="21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color w:val="00000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9</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10</w:t>
            </w:r>
          </w:p>
        </w:tc>
      </w:tr>
      <w:tr>
        <w:trPr>
          <w:trHeight w:val="629" w:hRule="exact"/>
        </w:trPr>
        <w:tc>
          <w:tcPr>
            <w:tcBorders>
              <w:top w:val="single" w:sz="4"/>
              <w:left w:val="single" w:sz="4"/>
            </w:tcBorders>
            <w:shd w:val="clear" w:color="auto" w:fill="auto"/>
            <w:vAlign w:val="bottom"/>
          </w:tcPr>
          <w:p>
            <w:pPr>
              <w:pStyle w:val="Style23"/>
              <w:keepNext w:val="0"/>
              <w:keepLines w:val="0"/>
              <w:widowControl w:val="0"/>
              <w:shd w:val="clear" w:color="auto" w:fill="auto"/>
              <w:tabs>
                <w:tab w:pos="1570" w:val="left"/>
              </w:tabs>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ru-RU" w:eastAsia="ru-RU" w:bidi="ru-RU"/>
              </w:rPr>
              <w:t>Стоимость</w:t>
              <w:tab/>
              <w:t>территориальной</w:t>
            </w:r>
          </w:p>
          <w:p>
            <w:pPr>
              <w:pStyle w:val="Style23"/>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ru-RU" w:eastAsia="ru-RU" w:bidi="ru-RU"/>
              </w:rPr>
              <w:t>программы всего (сумма строк 2 + 3), в том числе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ru-RU" w:eastAsia="ru-RU" w:bidi="ru-RU"/>
              </w:rPr>
              <w:t>57 031815,20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jc w:val="left"/>
              <w:rPr>
                <w:sz w:val="18"/>
                <w:szCs w:val="18"/>
              </w:rPr>
            </w:pPr>
            <w:r>
              <w:rPr>
                <w:color w:val="000000"/>
                <w:spacing w:val="0"/>
                <w:w w:val="100"/>
                <w:position w:val="0"/>
                <w:sz w:val="18"/>
                <w:szCs w:val="18"/>
                <w:shd w:val="clear" w:color="auto" w:fill="auto"/>
                <w:lang w:val="ru-RU" w:eastAsia="ru-RU" w:bidi="ru-RU"/>
              </w:rPr>
              <w:t>30 954,01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57 031815,20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color w:val="000000"/>
                <w:spacing w:val="0"/>
                <w:w w:val="100"/>
                <w:position w:val="0"/>
                <w:sz w:val="18"/>
                <w:szCs w:val="18"/>
                <w:shd w:val="clear" w:color="auto" w:fill="auto"/>
                <w:lang w:val="ru-RU" w:eastAsia="ru-RU" w:bidi="ru-RU"/>
              </w:rPr>
              <w:t>30 954,01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63 444 072,80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jc w:val="left"/>
              <w:rPr>
                <w:sz w:val="18"/>
                <w:szCs w:val="18"/>
              </w:rPr>
            </w:pPr>
            <w:r>
              <w:rPr>
                <w:color w:val="000000"/>
                <w:spacing w:val="0"/>
                <w:w w:val="100"/>
                <w:position w:val="0"/>
                <w:sz w:val="18"/>
                <w:szCs w:val="18"/>
                <w:shd w:val="clear" w:color="auto" w:fill="auto"/>
                <w:lang w:val="ru-RU" w:eastAsia="ru-RU" w:bidi="ru-RU"/>
              </w:rPr>
              <w:t>34 550,13</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66 568992,90</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jc w:val="left"/>
              <w:rPr>
                <w:sz w:val="18"/>
                <w:szCs w:val="18"/>
              </w:rPr>
            </w:pPr>
            <w:r>
              <w:rPr>
                <w:color w:val="000000"/>
                <w:spacing w:val="0"/>
                <w:w w:val="100"/>
                <w:position w:val="0"/>
                <w:sz w:val="18"/>
                <w:szCs w:val="18"/>
                <w:shd w:val="clear" w:color="auto" w:fill="auto"/>
                <w:lang w:val="ru-RU" w:eastAsia="ru-RU" w:bidi="ru-RU"/>
              </w:rPr>
              <w:t>36 213,84</w:t>
            </w:r>
          </w:p>
        </w:tc>
      </w:tr>
      <w:tr>
        <w:trPr>
          <w:trHeight w:val="21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ru-RU" w:eastAsia="ru-RU" w:bidi="ru-RU"/>
              </w:rPr>
              <w:t>I. Средства областного бюджета*</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color w:val="00000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ru-RU" w:eastAsia="ru-RU" w:bidi="ru-RU"/>
              </w:rPr>
              <w:t>10 242 732,10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5 765,40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10 242 732,10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5 765,40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12 883 763,00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7 331,30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12 276 661,00</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18"/>
                <w:szCs w:val="18"/>
              </w:rPr>
            </w:pPr>
            <w:r>
              <w:rPr>
                <w:color w:val="000000"/>
                <w:spacing w:val="0"/>
                <w:w w:val="100"/>
                <w:position w:val="0"/>
                <w:sz w:val="18"/>
                <w:szCs w:val="18"/>
                <w:shd w:val="clear" w:color="auto" w:fill="auto"/>
                <w:lang w:val="ru-RU" w:eastAsia="ru-RU" w:bidi="ru-RU"/>
              </w:rPr>
              <w:t>6 985,90</w:t>
            </w:r>
          </w:p>
        </w:tc>
      </w:tr>
      <w:tr>
        <w:trPr>
          <w:trHeight w:val="840" w:hRule="exact"/>
        </w:trPr>
        <w:tc>
          <w:tcPr>
            <w:tcBorders>
              <w:top w:val="single" w:sz="4"/>
              <w:left w:val="single" w:sz="4"/>
            </w:tcBorders>
            <w:shd w:val="clear" w:color="auto" w:fill="auto"/>
            <w:vAlign w:val="bottom"/>
          </w:tcPr>
          <w:p>
            <w:pPr>
              <w:pStyle w:val="Style23"/>
              <w:keepNext w:val="0"/>
              <w:keepLines w:val="0"/>
              <w:widowControl w:val="0"/>
              <w:shd w:val="clear" w:color="auto" w:fill="auto"/>
              <w:tabs>
                <w:tab w:pos="1541" w:val="left"/>
              </w:tabs>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ru-RU" w:eastAsia="ru-RU" w:bidi="ru-RU"/>
              </w:rPr>
              <w:t>II. Стоимость</w:t>
              <w:tab/>
              <w:t>территориальной</w:t>
            </w:r>
          </w:p>
          <w:p>
            <w:pPr>
              <w:pStyle w:val="Style23"/>
              <w:keepNext w:val="0"/>
              <w:keepLines w:val="0"/>
              <w:widowControl w:val="0"/>
              <w:shd w:val="clear" w:color="auto" w:fill="auto"/>
              <w:tabs>
                <w:tab w:pos="1810" w:val="left"/>
              </w:tabs>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ru-RU" w:eastAsia="ru-RU" w:bidi="ru-RU"/>
              </w:rPr>
              <w:t>программы</w:t>
              <w:tab/>
              <w:t>обязательного</w:t>
            </w:r>
          </w:p>
          <w:p>
            <w:pPr>
              <w:pStyle w:val="Style23"/>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ru-RU" w:eastAsia="ru-RU" w:bidi="ru-RU"/>
              </w:rPr>
              <w:t>медицинского страхования (далее -</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ru-RU" w:eastAsia="ru-RU" w:bidi="ru-RU"/>
              </w:rPr>
              <w:t>ОМС), всего** (сумма строк 4 + 8)</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color w:val="000000"/>
                <w:spacing w:val="0"/>
                <w:w w:val="100"/>
                <w:position w:val="0"/>
                <w:sz w:val="18"/>
                <w:szCs w:val="18"/>
                <w:shd w:val="clear" w:color="auto" w:fill="auto"/>
                <w:lang w:val="ru-RU" w:eastAsia="ru-RU" w:bidi="ru-RU"/>
              </w:rPr>
              <w:t>3</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ru-RU" w:eastAsia="ru-RU" w:bidi="ru-RU"/>
              </w:rPr>
              <w:t>46 789 083,10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jc w:val="left"/>
              <w:rPr>
                <w:sz w:val="18"/>
                <w:szCs w:val="18"/>
              </w:rPr>
            </w:pPr>
            <w:r>
              <w:rPr>
                <w:color w:val="000000"/>
                <w:spacing w:val="0"/>
                <w:w w:val="100"/>
                <w:position w:val="0"/>
                <w:sz w:val="18"/>
                <w:szCs w:val="18"/>
                <w:shd w:val="clear" w:color="auto" w:fill="auto"/>
                <w:lang w:val="ru-RU" w:eastAsia="ru-RU" w:bidi="ru-RU"/>
              </w:rPr>
              <w:t>25 188,61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46 789 083,10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color w:val="000000"/>
                <w:spacing w:val="0"/>
                <w:w w:val="100"/>
                <w:position w:val="0"/>
                <w:sz w:val="18"/>
                <w:szCs w:val="18"/>
                <w:shd w:val="clear" w:color="auto" w:fill="auto"/>
                <w:lang w:val="ru-RU" w:eastAsia="ru-RU" w:bidi="ru-RU"/>
              </w:rPr>
              <w:t>25 188,61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50 560 309,80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jc w:val="left"/>
              <w:rPr>
                <w:sz w:val="18"/>
                <w:szCs w:val="18"/>
              </w:rPr>
            </w:pPr>
            <w:r>
              <w:rPr>
                <w:color w:val="000000"/>
                <w:spacing w:val="0"/>
                <w:w w:val="100"/>
                <w:position w:val="0"/>
                <w:sz w:val="18"/>
                <w:szCs w:val="18"/>
                <w:shd w:val="clear" w:color="auto" w:fill="auto"/>
                <w:lang w:val="ru-RU" w:eastAsia="ru-RU" w:bidi="ru-RU"/>
              </w:rPr>
              <w:t>27 218,83</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54 292 331,90</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jc w:val="left"/>
              <w:rPr>
                <w:sz w:val="18"/>
                <w:szCs w:val="18"/>
              </w:rPr>
            </w:pPr>
            <w:r>
              <w:rPr>
                <w:color w:val="000000"/>
                <w:spacing w:val="0"/>
                <w:w w:val="100"/>
                <w:position w:val="0"/>
                <w:sz w:val="18"/>
                <w:szCs w:val="18"/>
                <w:shd w:val="clear" w:color="auto" w:fill="auto"/>
                <w:lang w:val="ru-RU" w:eastAsia="ru-RU" w:bidi="ru-RU"/>
              </w:rPr>
              <w:t>29 227,94</w:t>
            </w:r>
          </w:p>
        </w:tc>
      </w:tr>
      <w:tr>
        <w:trPr>
          <w:trHeight w:val="1046" w:hRule="exact"/>
        </w:trPr>
        <w:tc>
          <w:tcPr>
            <w:tcBorders>
              <w:top w:val="single" w:sz="4"/>
              <w:left w:val="single" w:sz="4"/>
            </w:tcBorders>
            <w:shd w:val="clear" w:color="auto" w:fill="auto"/>
            <w:vAlign w:val="top"/>
          </w:tcPr>
          <w:p>
            <w:pPr>
              <w:pStyle w:val="Style23"/>
              <w:keepNext w:val="0"/>
              <w:keepLines w:val="0"/>
              <w:widowControl w:val="0"/>
              <w:shd w:val="clear" w:color="auto" w:fill="auto"/>
              <w:tabs>
                <w:tab w:pos="1560" w:val="left"/>
              </w:tabs>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ru-RU" w:eastAsia="ru-RU" w:bidi="ru-RU"/>
              </w:rPr>
              <w:t>1. Стоимость</w:t>
              <w:tab/>
              <w:t>территориальной</w:t>
            </w:r>
          </w:p>
          <w:p>
            <w:pPr>
              <w:pStyle w:val="Style23"/>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ru-RU" w:eastAsia="ru-RU" w:bidi="ru-RU"/>
              </w:rPr>
              <w:t>программы ОМС за счет средств ОМС в рамках базовой программы ОМС** (сумма строк 5 + 6 + 7), в том числе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color w:val="000000"/>
                <w:spacing w:val="0"/>
                <w:w w:val="100"/>
                <w:position w:val="0"/>
                <w:sz w:val="18"/>
                <w:szCs w:val="18"/>
                <w:shd w:val="clear" w:color="auto" w:fill="auto"/>
                <w:lang w:val="ru-RU" w:eastAsia="ru-RU" w:bidi="ru-RU"/>
              </w:rPr>
              <w:t>4</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ru-RU" w:eastAsia="ru-RU" w:bidi="ru-RU"/>
              </w:rPr>
              <w:t>46 789 083,10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jc w:val="left"/>
              <w:rPr>
                <w:sz w:val="18"/>
                <w:szCs w:val="18"/>
              </w:rPr>
            </w:pPr>
            <w:r>
              <w:rPr>
                <w:color w:val="000000"/>
                <w:spacing w:val="0"/>
                <w:w w:val="100"/>
                <w:position w:val="0"/>
                <w:sz w:val="18"/>
                <w:szCs w:val="18"/>
                <w:shd w:val="clear" w:color="auto" w:fill="auto"/>
                <w:lang w:val="ru-RU" w:eastAsia="ru-RU" w:bidi="ru-RU"/>
              </w:rPr>
              <w:t>25 188,61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X</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X</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50 560 309,80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jc w:val="left"/>
              <w:rPr>
                <w:sz w:val="18"/>
                <w:szCs w:val="18"/>
              </w:rPr>
            </w:pPr>
            <w:r>
              <w:rPr>
                <w:color w:val="000000"/>
                <w:spacing w:val="0"/>
                <w:w w:val="100"/>
                <w:position w:val="0"/>
                <w:sz w:val="18"/>
                <w:szCs w:val="18"/>
                <w:shd w:val="clear" w:color="auto" w:fill="auto"/>
                <w:lang w:val="ru-RU" w:eastAsia="ru-RU" w:bidi="ru-RU"/>
              </w:rPr>
              <w:t>27 218,83</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54 292 331,90</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jc w:val="left"/>
              <w:rPr>
                <w:sz w:val="18"/>
                <w:szCs w:val="18"/>
              </w:rPr>
            </w:pPr>
            <w:r>
              <w:rPr>
                <w:color w:val="000000"/>
                <w:spacing w:val="0"/>
                <w:w w:val="100"/>
                <w:position w:val="0"/>
                <w:sz w:val="18"/>
                <w:szCs w:val="18"/>
                <w:shd w:val="clear" w:color="auto" w:fill="auto"/>
                <w:lang w:val="ru-RU" w:eastAsia="ru-RU" w:bidi="ru-RU"/>
              </w:rPr>
              <w:t>29 227,94</w:t>
            </w:r>
          </w:p>
        </w:tc>
      </w:tr>
      <w:tr>
        <w:trPr>
          <w:trHeight w:val="432"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tabs>
                <w:tab w:pos="1589" w:val="left"/>
                <w:tab w:pos="2208" w:val="left"/>
              </w:tabs>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ru-RU" w:eastAsia="ru-RU" w:bidi="ru-RU"/>
              </w:rPr>
              <w:t>1.1. Субвенции</w:t>
              <w:tab/>
              <w:t>из</w:t>
              <w:tab/>
              <w:t>бюджета</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ru-RU" w:eastAsia="ru-RU" w:bidi="ru-RU"/>
              </w:rPr>
              <w:t>Федерального фонда ОМС**</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color w:val="000000"/>
                <w:spacing w:val="0"/>
                <w:w w:val="100"/>
                <w:position w:val="0"/>
                <w:sz w:val="18"/>
                <w:szCs w:val="18"/>
                <w:shd w:val="clear" w:color="auto" w:fill="auto"/>
                <w:lang w:val="ru-RU" w:eastAsia="ru-RU" w:bidi="ru-RU"/>
              </w:rPr>
              <w:t>5</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ru-RU" w:eastAsia="ru-RU" w:bidi="ru-RU"/>
              </w:rPr>
              <w:t>46 789 083,10</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jc w:val="left"/>
              <w:rPr>
                <w:sz w:val="18"/>
                <w:szCs w:val="18"/>
              </w:rPr>
            </w:pPr>
            <w:r>
              <w:rPr>
                <w:color w:val="000000"/>
                <w:spacing w:val="0"/>
                <w:w w:val="100"/>
                <w:position w:val="0"/>
                <w:sz w:val="18"/>
                <w:szCs w:val="18"/>
                <w:shd w:val="clear" w:color="auto" w:fill="auto"/>
                <w:lang w:val="ru-RU" w:eastAsia="ru-RU" w:bidi="ru-RU"/>
              </w:rPr>
              <w:t>25 188,61</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X</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X</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50 560 309,80</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jc w:val="left"/>
              <w:rPr>
                <w:sz w:val="18"/>
                <w:szCs w:val="18"/>
              </w:rPr>
            </w:pPr>
            <w:r>
              <w:rPr>
                <w:color w:val="000000"/>
                <w:spacing w:val="0"/>
                <w:w w:val="100"/>
                <w:position w:val="0"/>
                <w:sz w:val="18"/>
                <w:szCs w:val="18"/>
                <w:shd w:val="clear" w:color="auto" w:fill="auto"/>
                <w:lang w:val="ru-RU" w:eastAsia="ru-RU" w:bidi="ru-RU"/>
              </w:rPr>
              <w:t>27 218,83</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54 292 331,90</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jc w:val="left"/>
              <w:rPr>
                <w:sz w:val="18"/>
                <w:szCs w:val="18"/>
              </w:rPr>
            </w:pPr>
            <w:r>
              <w:rPr>
                <w:color w:val="000000"/>
                <w:spacing w:val="0"/>
                <w:w w:val="100"/>
                <w:position w:val="0"/>
                <w:sz w:val="18"/>
                <w:szCs w:val="18"/>
                <w:shd w:val="clear" w:color="auto" w:fill="auto"/>
                <w:lang w:val="ru-RU" w:eastAsia="ru-RU" w:bidi="ru-RU"/>
              </w:rPr>
              <w:t>29 227,94</w:t>
            </w:r>
          </w:p>
        </w:tc>
      </w:tr>
    </w:tbl>
    <w:p>
      <w:pPr>
        <w:spacing w:lineRule="exact" w:line="1"/>
        <w:rPr>
          <w:sz w:val="2"/>
          <w:szCs w:val="2"/>
        </w:rPr>
      </w:pPr>
      <w:r>
        <w:br w:type="page"/>
      </w:r>
    </w:p>
    <w:tbl>
      <w:tblPr>
        <w:tblOverlap w:val="never"/>
        <w:jc w:val="center"/>
        <w:tblLayout w:type="fixed"/>
      </w:tblPr>
      <w:tblGrid>
        <w:gridCol w:w="3125"/>
        <w:gridCol w:w="850"/>
        <w:gridCol w:w="1277"/>
        <w:gridCol w:w="1555"/>
        <w:gridCol w:w="1277"/>
        <w:gridCol w:w="1565"/>
        <w:gridCol w:w="1272"/>
        <w:gridCol w:w="1560"/>
        <w:gridCol w:w="1277"/>
        <w:gridCol w:w="1565"/>
      </w:tblGrid>
      <w:tr>
        <w:trPr>
          <w:trHeight w:val="22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color w:val="00000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9</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10</w:t>
            </w:r>
          </w:p>
        </w:tc>
      </w:tr>
      <w:tr>
        <w:trPr>
          <w:trHeight w:val="1666" w:hRule="exact"/>
        </w:trPr>
        <w:tc>
          <w:tcPr>
            <w:tcBorders>
              <w:top w:val="single" w:sz="4"/>
              <w:left w:val="single" w:sz="4"/>
            </w:tcBorders>
            <w:shd w:val="clear" w:color="auto" w:fill="auto"/>
            <w:vAlign w:val="bottom"/>
          </w:tcPr>
          <w:p>
            <w:pPr>
              <w:pStyle w:val="Style23"/>
              <w:keepNext w:val="0"/>
              <w:keepLines w:val="0"/>
              <w:widowControl w:val="0"/>
              <w:shd w:val="clear" w:color="auto" w:fill="auto"/>
              <w:tabs>
                <w:tab w:pos="2899" w:val="right"/>
              </w:tabs>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ru-RU" w:eastAsia="ru-RU" w:bidi="ru-RU"/>
              </w:rPr>
              <w:t>1.2. Межбюджетные трансферты из областного бюджета на финансовое обеспечение</w:t>
              <w:tab/>
              <w:t>территориальной</w:t>
            </w:r>
          </w:p>
          <w:p>
            <w:pPr>
              <w:pStyle w:val="Style23"/>
              <w:keepNext w:val="0"/>
              <w:keepLines w:val="0"/>
              <w:widowControl w:val="0"/>
              <w:shd w:val="clear" w:color="auto" w:fill="auto"/>
              <w:tabs>
                <w:tab w:pos="2899" w:val="right"/>
              </w:tabs>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ru-RU" w:eastAsia="ru-RU" w:bidi="ru-RU"/>
              </w:rPr>
              <w:t>программы ОМС в случае установления</w:t>
              <w:tab/>
              <w:t>дополнительного</w:t>
            </w:r>
          </w:p>
          <w:p>
            <w:pPr>
              <w:pStyle w:val="Style23"/>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ru-RU" w:eastAsia="ru-RU" w:bidi="ru-RU"/>
              </w:rPr>
              <w:t>объема страхового обеспечения по страховым случаям, установленным базовой программой ОМС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color w:val="000000"/>
                <w:spacing w:val="0"/>
                <w:w w:val="100"/>
                <w:position w:val="0"/>
                <w:sz w:val="18"/>
                <w:szCs w:val="18"/>
                <w:shd w:val="clear" w:color="auto" w:fill="auto"/>
                <w:lang w:val="ru-RU" w:eastAsia="ru-RU" w:bidi="ru-RU"/>
              </w:rPr>
              <w:t>6</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r>
      <w:tr>
        <w:trPr>
          <w:trHeight w:val="21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ru-RU" w:eastAsia="ru-RU" w:bidi="ru-RU"/>
              </w:rPr>
              <w:t>1.3. Прочие поступления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color w:val="000000"/>
                <w:spacing w:val="0"/>
                <w:w w:val="100"/>
                <w:position w:val="0"/>
                <w:sz w:val="18"/>
                <w:szCs w:val="18"/>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r>
      <w:tr>
        <w:trPr>
          <w:trHeight w:val="1459" w:hRule="exact"/>
        </w:trPr>
        <w:tc>
          <w:tcPr>
            <w:tcBorders>
              <w:top w:val="single" w:sz="4"/>
              <w:left w:val="single" w:sz="4"/>
            </w:tcBorders>
            <w:shd w:val="clear" w:color="auto" w:fill="auto"/>
            <w:vAlign w:val="bottom"/>
          </w:tcPr>
          <w:p>
            <w:pPr>
              <w:pStyle w:val="Style23"/>
              <w:keepNext w:val="0"/>
              <w:keepLines w:val="0"/>
              <w:widowControl w:val="0"/>
              <w:shd w:val="clear" w:color="auto" w:fill="auto"/>
              <w:tabs>
                <w:tab w:pos="1022" w:val="left"/>
                <w:tab w:pos="1507" w:val="left"/>
                <w:tab w:pos="2818" w:val="left"/>
              </w:tabs>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ru-RU" w:eastAsia="ru-RU" w:bidi="ru-RU"/>
              </w:rPr>
              <w:t>2. Межбюджетные трансферты из областного бюджета на финансовое обеспечение дополнительных видов и условий оказания медицинской помощи</w:t>
              <w:tab/>
              <w:t>в</w:t>
              <w:tab/>
              <w:t>дополнение</w:t>
              <w:tab/>
              <w:t>к</w:t>
            </w:r>
          </w:p>
          <w:p>
            <w:pPr>
              <w:pStyle w:val="Style23"/>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ru-RU" w:eastAsia="ru-RU" w:bidi="ru-RU"/>
              </w:rPr>
              <w:t>установленным базовой программой ОМС, из них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color w:val="000000"/>
                <w:spacing w:val="0"/>
                <w:w w:val="100"/>
                <w:position w:val="0"/>
                <w:sz w:val="18"/>
                <w:szCs w:val="18"/>
                <w:shd w:val="clear" w:color="auto" w:fill="auto"/>
                <w:lang w:val="ru-RU" w:eastAsia="ru-RU" w:bidi="ru-RU"/>
              </w:rPr>
              <w:t>8</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r>
      <w:tr>
        <w:trPr>
          <w:trHeight w:val="1877" w:hRule="exact"/>
        </w:trPr>
        <w:tc>
          <w:tcPr>
            <w:tcBorders>
              <w:top w:val="single" w:sz="4"/>
              <w:left w:val="single" w:sz="4"/>
            </w:tcBorders>
            <w:shd w:val="clear" w:color="auto" w:fill="auto"/>
            <w:vAlign w:val="bottom"/>
          </w:tcPr>
          <w:p>
            <w:pPr>
              <w:pStyle w:val="Style23"/>
              <w:keepNext w:val="0"/>
              <w:keepLines w:val="0"/>
              <w:widowControl w:val="0"/>
              <w:shd w:val="clear" w:color="auto" w:fill="auto"/>
              <w:tabs>
                <w:tab w:pos="1474" w:val="left"/>
                <w:tab w:pos="2045" w:val="left"/>
              </w:tabs>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ru-RU" w:eastAsia="ru-RU" w:bidi="ru-RU"/>
              </w:rPr>
              <w:t>2.1. Межбюджетные трансферты, передаваемые</w:t>
              <w:tab/>
              <w:t>из</w:t>
              <w:tab/>
              <w:t>областного</w:t>
            </w:r>
          </w:p>
          <w:p>
            <w:pPr>
              <w:pStyle w:val="Style23"/>
              <w:keepNext w:val="0"/>
              <w:keepLines w:val="0"/>
              <w:widowControl w:val="0"/>
              <w:shd w:val="clear" w:color="auto" w:fill="auto"/>
              <w:tabs>
                <w:tab w:pos="1944" w:val="left"/>
              </w:tabs>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ru-RU" w:eastAsia="ru-RU" w:bidi="ru-RU"/>
              </w:rPr>
              <w:t>бюджета в бюджет территориального фонда ОМС Омской области на финансовое</w:t>
              <w:tab/>
              <w:t>обеспечение</w:t>
            </w:r>
          </w:p>
          <w:p>
            <w:pPr>
              <w:pStyle w:val="Style23"/>
              <w:keepNext w:val="0"/>
              <w:keepLines w:val="0"/>
              <w:widowControl w:val="0"/>
              <w:shd w:val="clear" w:color="auto" w:fill="auto"/>
              <w:tabs>
                <w:tab w:pos="1075" w:val="left"/>
                <w:tab w:pos="2827" w:val="left"/>
              </w:tabs>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ru-RU" w:eastAsia="ru-RU" w:bidi="ru-RU"/>
              </w:rPr>
              <w:t>дополнительных видов медицинской помощи,</w:t>
              <w:tab/>
              <w:t>предоставляемых</w:t>
              <w:tab/>
              <w:t>в</w:t>
            </w:r>
          </w:p>
          <w:p>
            <w:pPr>
              <w:pStyle w:val="Style23"/>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ru-RU" w:eastAsia="ru-RU" w:bidi="ru-RU"/>
              </w:rPr>
              <w:t>дополнение к установленным базовой программой ОМС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color w:val="000000"/>
                <w:spacing w:val="0"/>
                <w:w w:val="100"/>
                <w:position w:val="0"/>
                <w:sz w:val="18"/>
                <w:szCs w:val="18"/>
                <w:shd w:val="clear" w:color="auto" w:fill="auto"/>
                <w:lang w:val="ru-RU" w:eastAsia="ru-RU" w:bidi="ru-RU"/>
              </w:rPr>
              <w:t>9</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r>
      <w:tr>
        <w:trPr>
          <w:trHeight w:val="1675"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tabs>
                <w:tab w:pos="1474" w:val="left"/>
                <w:tab w:pos="2045" w:val="left"/>
              </w:tabs>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ru-RU" w:eastAsia="ru-RU" w:bidi="ru-RU"/>
              </w:rPr>
              <w:t>2.2. Межбюджетные трансферты, передаваемые</w:t>
              <w:tab/>
              <w:t>из</w:t>
              <w:tab/>
              <w:t>областного</w:t>
            </w:r>
          </w:p>
          <w:p>
            <w:pPr>
              <w:pStyle w:val="Style23"/>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ru-RU" w:eastAsia="ru-RU" w:bidi="ru-RU"/>
              </w:rPr>
              <w:t>бюджета в бюджет территориального фонда ОМС Омской области на финансовое обеспечение расходов, не включенных в структуру тарифов на оплату медицинской помощи в рамках базовой программы ОМС</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340"/>
              <w:jc w:val="left"/>
              <w:rPr>
                <w:sz w:val="18"/>
                <w:szCs w:val="18"/>
              </w:rPr>
            </w:pPr>
            <w:r>
              <w:rPr>
                <w:color w:val="000000"/>
                <w:spacing w:val="0"/>
                <w:w w:val="100"/>
                <w:position w:val="0"/>
                <w:sz w:val="18"/>
                <w:szCs w:val="18"/>
                <w:shd w:val="clear" w:color="auto" w:fill="auto"/>
                <w:lang w:val="ru-RU" w:eastAsia="ru-RU" w:bidi="ru-RU"/>
              </w:rPr>
              <w:t>10</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0,0</w:t>
            </w:r>
          </w:p>
        </w:tc>
      </w:tr>
    </w:tbl>
    <w:p>
      <w:pPr>
        <w:widowControl w:val="0"/>
        <w:spacing w:after="299" w:line="1" w:lineRule="exact"/>
      </w:pPr>
    </w:p>
    <w:p>
      <w:pPr>
        <w:pStyle w:val="Style4"/>
        <w:keepNext w:val="0"/>
        <w:keepLines w:val="0"/>
        <w:widowControl w:val="0"/>
        <w:numPr>
          <w:ilvl w:val="0"/>
          <w:numId w:val="145"/>
        </w:numPr>
        <w:shd w:val="clear" w:color="auto" w:fill="auto"/>
        <w:tabs>
          <w:tab w:pos="966"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для медицинского применения, государственных программ, а также межбюджетных трансфертов (строки 6 и 8).</w:t>
      </w:r>
    </w:p>
    <w:p>
      <w:pPr>
        <w:pStyle w:val="Style4"/>
        <w:keepNext w:val="0"/>
        <w:keepLines w:val="0"/>
        <w:widowControl w:val="0"/>
        <w:numPr>
          <w:ilvl w:val="0"/>
          <w:numId w:val="145"/>
        </w:numPr>
        <w:shd w:val="clear" w:color="auto" w:fill="auto"/>
        <w:tabs>
          <w:tab w:pos="961" w:val="left"/>
        </w:tabs>
        <w:bidi w:val="0"/>
        <w:spacing w:before="0" w:after="320" w:line="240" w:lineRule="auto"/>
        <w:ind w:left="0" w:right="0" w:firstLine="720"/>
        <w:jc w:val="both"/>
        <w:sectPr>
          <w:footnotePr>
            <w:pos w:val="pageBottom"/>
            <w:numFmt w:val="decimal"/>
            <w:numStart w:val="1"/>
            <w:numRestart w:val="continuous"/>
            <w15:footnoteColumns w:val="1"/>
          </w:footnotePr>
          <w:pgSz w:w="16840" w:h="11900" w:orient="landscape"/>
          <w:pgMar w:top="1005" w:right="383" w:bottom="661" w:left="627" w:header="577" w:footer="233" w:gutter="0"/>
          <w:cols w:space="720"/>
          <w:noEndnote/>
          <w:rtlGutter w:val="0"/>
          <w:docGrid w:linePitch="360"/>
        </w:sectPr>
      </w:pPr>
      <w:r>
        <w:rPr>
          <w:color w:val="000000"/>
          <w:spacing w:val="0"/>
          <w:w w:val="100"/>
          <w:position w:val="0"/>
          <w:shd w:val="clear" w:color="auto" w:fill="auto"/>
          <w:lang w:val="ru-RU" w:eastAsia="ru-RU" w:bidi="ru-RU"/>
        </w:rPr>
        <w:t xml:space="preserve">* Без учета расходов на обеспечение выполнения территориальным фондом ОМС Омской области своих функций, предусмотренных Законом Омской области «О бюджете территориального фонда обязательного медицинского страхования Омской области на 2026 год и на плановый период 2027 и 2028 годов» по разделу 01 «Общегосударственные вопросы», и </w:t>
      </w:r>
    </w:p>
    <w:p>
      <w:pPr>
        <w:pStyle w:val="Style4"/>
        <w:keepNext w:val="0"/>
        <w:keepLines w:val="0"/>
        <w:widowControl w:val="0"/>
        <w:shd w:val="clear" w:color="auto" w:fill="auto"/>
        <w:tabs>
          <w:tab w:pos="961" w:val="left"/>
        </w:tabs>
        <w:bidi w:val="0"/>
        <w:spacing w:before="0" w:after="320" w:line="240" w:lineRule="auto"/>
        <w:ind w:left="0" w:right="0" w:firstLine="0"/>
        <w:jc w:val="both"/>
      </w:pPr>
      <w:r>
        <w:rPr>
          <w:color w:val="000000"/>
          <w:spacing w:val="0"/>
          <w:w w:val="100"/>
          <w:position w:val="0"/>
          <w:shd w:val="clear" w:color="auto" w:fill="auto"/>
          <w:lang w:val="ru-RU" w:eastAsia="ru-RU" w:bidi="ru-RU"/>
        </w:rPr>
        <w:t>расходов на мероприятия по ликвидации кадрового дефицита в медицинских организациях, оказывающих первичную медико-санитарную помощь.</w:t>
      </w:r>
    </w:p>
    <w:p>
      <w:pPr>
        <w:pStyle w:val="Style4"/>
        <w:keepNext w:val="0"/>
        <w:keepLines w:val="0"/>
        <w:widowControl w:val="0"/>
        <w:shd w:val="clear" w:color="auto" w:fill="auto"/>
        <w:bidi w:val="0"/>
        <w:spacing w:before="0" w:after="320" w:line="240" w:lineRule="auto"/>
        <w:ind w:left="13600" w:right="0" w:firstLine="0"/>
        <w:jc w:val="left"/>
      </w:pPr>
      <w:r>
        <w:rPr>
          <w:color w:val="000000"/>
          <w:spacing w:val="0"/>
          <w:w w:val="100"/>
          <w:position w:val="0"/>
          <w:shd w:val="clear" w:color="auto" w:fill="auto"/>
          <w:lang w:val="ru-RU" w:eastAsia="ru-RU" w:bidi="ru-RU"/>
        </w:rPr>
        <w:t>Таблица № 2</w:t>
      </w:r>
    </w:p>
    <w:tbl>
      <w:tblPr>
        <w:tblOverlap w:val="never"/>
        <w:jc w:val="center"/>
        <w:tblLayout w:type="fixed"/>
      </w:tblPr>
      <w:tblGrid>
        <w:gridCol w:w="9504"/>
        <w:gridCol w:w="2016"/>
        <w:gridCol w:w="1949"/>
        <w:gridCol w:w="1853"/>
      </w:tblGrid>
      <w:tr>
        <w:trPr>
          <w:trHeight w:val="43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Справочные данные, использованные при расчете стоимости территориальной программы за счет бюджетных ассигнований областного бюджета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2026 год</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2027 год</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2028 год</w:t>
            </w:r>
          </w:p>
        </w:tc>
      </w:tr>
      <w:tr>
        <w:trPr>
          <w:trHeight w:val="42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ru-RU" w:eastAsia="ru-RU" w:bidi="ru-RU"/>
              </w:rPr>
              <w:t>Численность населения Омской области по данным Территориального органа Федеральной службы государственной статистики по Омской области (человек)</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1 776 593</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1 757 360</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1 757 360</w:t>
            </w:r>
          </w:p>
        </w:tc>
      </w:tr>
      <w:tr>
        <w:trPr>
          <w:trHeight w:val="8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ru-RU" w:eastAsia="ru-RU" w:bidi="ru-RU"/>
              </w:rPr>
              <w:t>Коэффициент дифференциации, рассчитанный в соответствии с методикой распределения субвенций, предоставляемых из бюджета Федерального фонда ОМС бюджетам территориальных фондов ОМС на осуществление переданных органам государственной власти субъектов Российской Федерации полномочий Российской Федерации в сфере ОМС, утвержденной постановлением Правительства Российской Федерации от 5 мая 2012 года № 462 (далее - методика)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1,105</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1,105</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1,105</w:t>
            </w:r>
          </w:p>
        </w:tc>
      </w:tr>
      <w:tr>
        <w:trPr>
          <w:trHeight w:val="226"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ru-RU" w:eastAsia="ru-RU" w:bidi="ru-RU"/>
              </w:rPr>
              <w:t>Коэффициент доступности медицинской помощи, рассчитанный в соответствии с методикой</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1,000</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1,000</w:t>
            </w:r>
          </w:p>
        </w:tc>
        <w:tc>
          <w:tcPr>
            <w:tcBorders>
              <w:top w:val="single" w:sz="4"/>
              <w:left w:val="single" w:sz="4"/>
              <w:bottom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1,000</w:t>
            </w:r>
          </w:p>
        </w:tc>
      </w:tr>
    </w:tbl>
    <w:p>
      <w:pPr>
        <w:widowControl w:val="0"/>
        <w:spacing w:after="319" w:line="1" w:lineRule="exact"/>
      </w:pPr>
    </w:p>
    <w:p>
      <w:pPr>
        <w:pStyle w:val="Style4"/>
        <w:keepNext w:val="0"/>
        <w:keepLines w:val="0"/>
        <w:widowControl w:val="0"/>
        <w:shd w:val="clear" w:color="auto" w:fill="auto"/>
        <w:bidi w:val="0"/>
        <w:spacing w:before="0" w:after="320" w:line="240" w:lineRule="auto"/>
        <w:ind w:left="13600" w:right="0" w:firstLine="0"/>
        <w:jc w:val="left"/>
      </w:pPr>
      <w:r>
        <w:rPr>
          <w:color w:val="000000"/>
          <w:spacing w:val="0"/>
          <w:w w:val="100"/>
          <w:position w:val="0"/>
          <w:shd w:val="clear" w:color="auto" w:fill="auto"/>
          <w:lang w:val="ru-RU" w:eastAsia="ru-RU" w:bidi="ru-RU"/>
        </w:rPr>
        <w:t>Таблица № 3</w:t>
      </w:r>
    </w:p>
    <w:tbl>
      <w:tblPr>
        <w:tblOverlap w:val="never"/>
        <w:jc w:val="center"/>
        <w:tblLayout w:type="fixed"/>
      </w:tblPr>
      <w:tblGrid>
        <w:gridCol w:w="3830"/>
        <w:gridCol w:w="1848"/>
        <w:gridCol w:w="1978"/>
        <w:gridCol w:w="1848"/>
        <w:gridCol w:w="1987"/>
        <w:gridCol w:w="1838"/>
        <w:gridCol w:w="1992"/>
      </w:tblGrid>
      <w:tr>
        <w:trPr>
          <w:trHeight w:val="221"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Справочно</w:t>
            </w:r>
          </w:p>
        </w:tc>
        <w:tc>
          <w:tcPr>
            <w:gridSpan w:val="2"/>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2026 год</w:t>
            </w:r>
          </w:p>
        </w:tc>
        <w:tc>
          <w:tcPr>
            <w:gridSpan w:val="4"/>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Плановый период</w:t>
            </w:r>
          </w:p>
        </w:tc>
      </w:tr>
      <w:tr>
        <w:trPr>
          <w:trHeight w:val="221" w:hRule="exact"/>
        </w:trPr>
        <w:tc>
          <w:tcPr>
            <w:vMerge/>
            <w:tcBorders>
              <w:left w:val="single" w:sz="4"/>
            </w:tcBorders>
            <w:shd w:val="clear" w:color="auto" w:fill="auto"/>
            <w:vAlign w:val="top"/>
          </w:tcPr>
          <w:p>
            <w:pPr/>
          </w:p>
        </w:tc>
        <w:tc>
          <w:tcPr>
            <w:gridSpan w:val="2"/>
            <w:vMerge/>
            <w:tcBorders>
              <w:left w:val="single" w:sz="4"/>
            </w:tcBorders>
            <w:shd w:val="clear" w:color="auto" w:fill="auto"/>
            <w:vAlign w:val="top"/>
          </w:tcPr>
          <w:p>
            <w:pPr/>
          </w:p>
        </w:tc>
        <w:tc>
          <w:tcPr>
            <w:gridSpan w:val="2"/>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2027 год</w:t>
            </w:r>
          </w:p>
        </w:tc>
        <w:tc>
          <w:tcPr>
            <w:gridSpan w:val="2"/>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2028 год</w:t>
            </w:r>
          </w:p>
        </w:tc>
      </w:tr>
      <w:tr>
        <w:trPr>
          <w:trHeight w:val="422" w:hRule="exact"/>
        </w:trPr>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Всего (тыс. руб.)</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На 1 застрахованное лицо (руб.)</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Всего (тыс. руб.)</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На 1 застрахованное лицо (руб.)</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Всего (тыс. руб.)</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На 1 застрахованное лицо (руб.)</w:t>
            </w:r>
          </w:p>
        </w:tc>
      </w:tr>
      <w:tr>
        <w:trPr>
          <w:trHeight w:val="638"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ru-RU" w:eastAsia="ru-RU" w:bidi="ru-RU"/>
              </w:rPr>
              <w:t>Расходы на обеспечение выполнения территориальным фондом ОМС Омской области своих функций</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265 143,50</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142,74</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265 143,50</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142,74</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265 143,50</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ru-RU" w:eastAsia="ru-RU" w:bidi="ru-RU"/>
              </w:rPr>
              <w:t>142,74</w:t>
            </w:r>
          </w:p>
        </w:tc>
      </w:tr>
    </w:tbl>
    <w:p>
      <w:pPr>
        <w:sectPr>
          <w:headerReference w:type="default" r:id="rId37"/>
          <w:footnotePr>
            <w:pos w:val="pageBottom"/>
            <w:numFmt w:val="decimal"/>
            <w:numStart w:val="1"/>
            <w:numRestart w:val="continuous"/>
            <w15:footnoteColumns w:val="1"/>
          </w:footnotePr>
          <w:pgSz w:w="16840" w:h="11900" w:orient="landscape"/>
          <w:pgMar w:top="1005" w:right="383" w:bottom="661" w:left="627" w:header="0" w:footer="233" w:gutter="0"/>
          <w:pgNumType w:start="3"/>
          <w:cols w:space="720"/>
          <w:noEndnote/>
          <w:rtlGutter w:val="0"/>
          <w:docGrid w:linePitch="360"/>
        </w:sectPr>
      </w:pPr>
    </w:p>
    <w:p>
      <w:pPr>
        <w:pStyle w:val="Style4"/>
        <w:keepNext w:val="0"/>
        <w:keepLines w:val="0"/>
        <w:widowControl w:val="0"/>
        <w:shd w:val="clear" w:color="auto" w:fill="auto"/>
        <w:bidi w:val="0"/>
        <w:spacing w:before="0" w:after="100" w:line="240" w:lineRule="auto"/>
        <w:ind w:left="9560" w:right="380" w:firstLine="0"/>
        <w:jc w:val="right"/>
      </w:pPr>
      <w:r>
        <w:rPr>
          <w:color w:val="000000"/>
          <w:spacing w:val="0"/>
          <w:w w:val="100"/>
          <w:position w:val="0"/>
          <w:shd w:val="clear" w:color="auto" w:fill="auto"/>
          <w:lang w:val="ru-RU" w:eastAsia="ru-RU" w:bidi="ru-RU"/>
        </w:rPr>
        <w:t>Приложение № 8 к Территориальной программе государственных гарантий бесплатного оказания гражданам медицинской помощи в Омской области на 2026 год и на плановый период 2027 и 2028 годов</w:t>
      </w:r>
    </w:p>
    <w:p>
      <w:pPr>
        <w:pStyle w:val="Style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СТОИМОСТЬ</w:t>
      </w:r>
    </w:p>
    <w:p>
      <w:pPr>
        <w:pStyle w:val="Style4"/>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ru-RU" w:eastAsia="ru-RU" w:bidi="ru-RU"/>
        </w:rPr>
        <w:t>Территориальной программы государственных гарантий бесплатного оказания гражданам медицинской помощи</w:t>
        <w:br/>
        <w:t>в Омской области на 2026 год и на плановый период 2027 и 2028 годов (далее - территориальная программа)</w:t>
        <w:br/>
        <w:t>по видам и условиям оказания медицинской помощи за счет бюджетных ассигнований областного</w:t>
        <w:br/>
        <w:t>бюджета (далее - бюджетные ассигнования) на 2026 год</w:t>
      </w:r>
    </w:p>
    <w:tbl>
      <w:tblPr>
        <w:tblOverlap w:val="never"/>
        <w:jc w:val="center"/>
        <w:tblLayout w:type="fixed"/>
      </w:tblPr>
      <w:tblGrid>
        <w:gridCol w:w="1848"/>
        <w:gridCol w:w="571"/>
        <w:gridCol w:w="845"/>
        <w:gridCol w:w="998"/>
        <w:gridCol w:w="1272"/>
        <w:gridCol w:w="1003"/>
        <w:gridCol w:w="989"/>
        <w:gridCol w:w="1272"/>
        <w:gridCol w:w="994"/>
        <w:gridCol w:w="1272"/>
        <w:gridCol w:w="1090"/>
        <w:gridCol w:w="1176"/>
        <w:gridCol w:w="686"/>
        <w:gridCol w:w="1018"/>
        <w:gridCol w:w="797"/>
      </w:tblGrid>
      <w:tr>
        <w:trPr>
          <w:trHeight w:val="821"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168"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Установленные территориальной программой виды и условия оказания медицинской помощи, а также иные направления расходования бюджетных ассигнований, включая бюджетные ассигнования, передаваемые в виде межбюджетного трансферта (далее - МВТ) в бюджет территориального фонда обязательного медицинского страхования Омской области (далее -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(далее - ОМС) сверх установленных базовой программой ОМС</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17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Номер строки</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17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Единица измерения</w:t>
            </w:r>
          </w:p>
        </w:tc>
        <w:tc>
          <w:tcPr>
            <w:gridSpan w:val="3"/>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168"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Установленный территориальной программой объем медицинской помощи, не входящей в базовую программу ОМС, в расчете на одного жителя</w:t>
            </w:r>
          </w:p>
        </w:tc>
        <w:tc>
          <w:tcPr>
            <w:gridSpan w:val="3"/>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168"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Установленный территориальной программой норматив финансовых затрат областного бюджета на единицу объема медицинской помощи, не входящей в базовую программу ОМС</w:t>
            </w:r>
          </w:p>
        </w:tc>
        <w:tc>
          <w:tcPr>
            <w:gridSpan w:val="2"/>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Подушевой норматив финансирования территориальной программы в разрезе направлений расходования бюджетных ассигнований</w:t>
            </w:r>
          </w:p>
        </w:tc>
        <w:tc>
          <w:tcPr>
            <w:gridSpan w:val="4"/>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17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Утвержденная стоимость территориальной программы по направлениям расходования бюджетных ассигнований</w:t>
            </w:r>
          </w:p>
        </w:tc>
      </w:tr>
      <w:tr>
        <w:trPr>
          <w:trHeight w:val="4070"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168"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Общий норматив объема медицинской помощи, оказываемой за счет бюджетных ассигнований, включая средства МВТ в бюджет ТФОМС, в том числе: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168"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норматив объема медицинской помощи за счет бюджетных ассигнований (без учета медицинской помощи, оказываемой по территориальной программе ОМС сверх базовой программы ОМС за счет средств МВТ в бюджет ТФОМС)</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168"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норматив объема медицинской помощи, оказываемой по территориаль</w:t>
              <w:softHyphen/>
              <w:t>ной программе ОМС сверх базовой программы ОМС за счет средств МВТ в бюджет ТФОМС (руб.)</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168"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Общий норматив финансовых затрат на единицу объема медицинской помощи, оказываемой за счет бюджетных ассигнований, включая средства МВТ в бюджет ГФОМС</w:t>
            </w:r>
            <w:r>
              <w:rPr>
                <w:rFonts w:ascii="Arial" w:eastAsia="Arial" w:hAnsi="Arial" w:cs="Arial"/>
                <w:color w:val="000000"/>
                <w:spacing w:val="0"/>
                <w:w w:val="100"/>
                <w:position w:val="0"/>
                <w:sz w:val="20"/>
                <w:szCs w:val="20"/>
                <w:shd w:val="clear" w:color="auto" w:fill="auto"/>
                <w:vertAlign w:val="superscript"/>
                <w:lang w:val="ru-RU" w:eastAsia="ru-RU" w:bidi="ru-RU"/>
              </w:rPr>
              <w:t>1</w:t>
            </w:r>
            <w:r>
              <w:rPr>
                <w:rFonts w:ascii="Arial" w:eastAsia="Arial" w:hAnsi="Arial" w:cs="Arial"/>
                <w:color w:val="000000"/>
                <w:spacing w:val="0"/>
                <w:w w:val="100"/>
                <w:position w:val="0"/>
                <w:sz w:val="20"/>
                <w:szCs w:val="20"/>
                <w:shd w:val="clear" w:color="auto" w:fill="auto"/>
                <w:lang w:val="ru-RU" w:eastAsia="ru-RU" w:bidi="ru-RU"/>
              </w:rPr>
              <w:t xml:space="preserve"> (руб.), в том числе:</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17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норматив финансовых затрат на единицу объема медицинской помощи за счет бюджетных ассигнований (без учета средств МВТ в бюджет ТФОМС на предоставление медицинской помощи сверх базовой программы ОМС) (руб.)</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168"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норматив финансовых затрат на единицу объема медицинской помощи, оказываемой по территориаль</w:t>
              <w:softHyphen/>
              <w:t>ной программе ОМС сверх базовой программы ОМС за счет средств МВТ в бюджет ТФОМС (руб.)</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17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за счет бюджетных ассигнований, включая средства МВТ в бюджет ТФОМС на финансовое обеспечение медицинской помощи, оказываемой по территориальной программе ОМС сверх базовой программы ОМС</w:t>
            </w:r>
            <w:r>
              <w:rPr>
                <w:rFonts w:ascii="Arial" w:eastAsia="Arial" w:hAnsi="Arial" w:cs="Arial"/>
                <w:color w:val="000000"/>
                <w:spacing w:val="0"/>
                <w:w w:val="100"/>
                <w:position w:val="0"/>
                <w:sz w:val="20"/>
                <w:szCs w:val="20"/>
                <w:shd w:val="clear" w:color="auto" w:fill="auto"/>
                <w:vertAlign w:val="superscript"/>
                <w:lang w:val="ru-RU" w:eastAsia="ru-RU" w:bidi="ru-RU"/>
              </w:rPr>
              <w:t xml:space="preserve">2 </w:t>
            </w:r>
            <w:r>
              <w:rPr>
                <w:rFonts w:ascii="Arial" w:eastAsia="Arial" w:hAnsi="Arial" w:cs="Arial"/>
                <w:color w:val="000000"/>
                <w:spacing w:val="0"/>
                <w:w w:val="100"/>
                <w:position w:val="0"/>
                <w:sz w:val="20"/>
                <w:szCs w:val="20"/>
                <w:shd w:val="clear" w:color="auto" w:fill="auto"/>
                <w:lang w:val="ru-RU" w:eastAsia="ru-RU" w:bidi="ru-RU"/>
              </w:rPr>
              <w:t>(руб.)</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17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за счет средств МВТ в бюджет ТФОМС на финансовое обеспечение медицинской помощи, оказываемой по территориальной программе ОМС сверх базовой программы ОМС (руб.)</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168"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за счет бюджетных ассигнований, включая средства МВТ в бюджет ТФОМС на финансовое обеспечение медицинской помощи, оказываемой по территориальной программе ОМС сверх базовой программы ОМС (тыс. руб.)</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168"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доли в структуре расходов (процен</w:t>
              <w:softHyphen/>
              <w:t>тов)</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168"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за счет средств МВТ в бюджет ТФОМС на финансовое обеспечение медицинской помощи, оказываемой по</w:t>
            </w:r>
          </w:p>
          <w:p>
            <w:pPr>
              <w:pStyle w:val="Style23"/>
              <w:keepNext w:val="0"/>
              <w:keepLines w:val="0"/>
              <w:widowControl w:val="0"/>
              <w:shd w:val="clear" w:color="auto" w:fill="auto"/>
              <w:bidi w:val="0"/>
              <w:spacing w:before="0" w:after="0" w:line="168"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территориаль</w:t>
              <w:softHyphen/>
              <w:t>ной программе</w:t>
            </w:r>
          </w:p>
          <w:p>
            <w:pPr>
              <w:pStyle w:val="Style23"/>
              <w:keepNext w:val="0"/>
              <w:keepLines w:val="0"/>
              <w:widowControl w:val="0"/>
              <w:shd w:val="clear" w:color="auto" w:fill="auto"/>
              <w:bidi w:val="0"/>
              <w:spacing w:before="0" w:after="0" w:line="168"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ОМС сверх базовой программы ОМС (тыс. руб.)</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168"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доли в структуре расходов (процен</w:t>
              <w:softHyphen/>
              <w:t>тов)</w:t>
            </w:r>
          </w:p>
        </w:tc>
      </w:tr>
      <w:tr>
        <w:trPr>
          <w:trHeight w:val="168"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II</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14</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15</w:t>
            </w:r>
          </w:p>
        </w:tc>
      </w:tr>
      <w:tr>
        <w:trPr>
          <w:trHeight w:val="1306"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5 765,40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10 242 732,10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100,0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r>
    </w:tbl>
    <w:p>
      <w:pPr>
        <w:spacing w:lineRule="exact" w:line="1"/>
        <w:rPr>
          <w:sz w:val="2"/>
          <w:szCs w:val="2"/>
        </w:rPr>
      </w:pPr>
      <w:r>
        <w:br w:type="page"/>
      </w:r>
    </w:p>
    <w:tbl>
      <w:tblPr>
        <w:tblOverlap w:val="never"/>
        <w:jc w:val="center"/>
        <w:tblLayout w:type="fixed"/>
      </w:tblPr>
      <w:tblGrid>
        <w:gridCol w:w="1848"/>
        <w:gridCol w:w="571"/>
        <w:gridCol w:w="845"/>
        <w:gridCol w:w="1003"/>
        <w:gridCol w:w="1267"/>
        <w:gridCol w:w="1003"/>
        <w:gridCol w:w="989"/>
        <w:gridCol w:w="1272"/>
        <w:gridCol w:w="994"/>
        <w:gridCol w:w="1272"/>
        <w:gridCol w:w="1090"/>
        <w:gridCol w:w="1176"/>
        <w:gridCol w:w="686"/>
        <w:gridCol w:w="1018"/>
        <w:gridCol w:w="797"/>
      </w:tblGrid>
      <w:tr>
        <w:trPr>
          <w:trHeight w:val="178"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2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6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13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14</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15</w:t>
            </w:r>
          </w:p>
        </w:tc>
      </w:tr>
      <w:tr>
        <w:trPr>
          <w:trHeight w:val="168"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в том числе:</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3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7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I. Нормируемая медицинская помощь</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20"/>
              <w:jc w:val="both"/>
              <w:rPr>
                <w:sz w:val="20"/>
                <w:szCs w:val="20"/>
              </w:rPr>
            </w:pPr>
            <w:r>
              <w:rPr>
                <w:rFonts w:ascii="Arial" w:eastAsia="Arial" w:hAnsi="Arial" w:cs="Arial"/>
                <w:color w:val="000000"/>
                <w:spacing w:val="0"/>
                <w:w w:val="100"/>
                <w:position w:val="0"/>
                <w:sz w:val="20"/>
                <w:szCs w:val="20"/>
                <w:shd w:val="clear" w:color="auto" w:fill="auto"/>
                <w:lang w:val="ru-RU" w:eastAsia="ru-RU" w:bidi="ru-RU"/>
              </w:rPr>
              <w:t>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3 424,2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6 083 382,0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60,4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r>
      <w:tr>
        <w:trPr>
          <w:trHeight w:val="13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1. Скорая медицинская помощь, включая скорую специализированную медицинскую помощь, не входящая в территориальную программу ОМС</w:t>
            </w:r>
            <w:r>
              <w:rPr>
                <w:rFonts w:ascii="Arial" w:eastAsia="Arial" w:hAnsi="Arial" w:cs="Arial"/>
                <w:color w:val="000000"/>
                <w:spacing w:val="0"/>
                <w:w w:val="100"/>
                <w:position w:val="0"/>
                <w:sz w:val="20"/>
                <w:szCs w:val="20"/>
                <w:shd w:val="clear" w:color="auto" w:fill="auto"/>
                <w:vertAlign w:val="superscript"/>
                <w:lang w:val="ru-RU" w:eastAsia="ru-RU" w:bidi="ru-RU"/>
              </w:rPr>
              <w:t>3</w:t>
            </w:r>
            <w:r>
              <w:rPr>
                <w:rFonts w:ascii="Arial" w:eastAsia="Arial" w:hAnsi="Arial" w:cs="Arial"/>
                <w:color w:val="000000"/>
                <w:spacing w:val="0"/>
                <w:w w:val="100"/>
                <w:position w:val="0"/>
                <w:sz w:val="20"/>
                <w:szCs w:val="20"/>
                <w:shd w:val="clear" w:color="auto" w:fill="auto"/>
                <w:lang w:val="ru-RU" w:eastAsia="ru-RU" w:bidi="ru-RU"/>
              </w:rPr>
              <w:t>,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20"/>
              <w:jc w:val="both"/>
              <w:rPr>
                <w:sz w:val="20"/>
                <w:szCs w:val="20"/>
              </w:rPr>
            </w:pPr>
            <w:r>
              <w:rPr>
                <w:rFonts w:ascii="Arial" w:eastAsia="Arial" w:hAnsi="Arial" w:cs="Arial"/>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16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вызовов</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0,003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0,003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29 379,1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29 379,1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92,3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163 994,4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right w:val="single" w:sz="4"/>
            </w:tcBorders>
            <w:shd w:val="clear" w:color="auto" w:fill="auto"/>
            <w:vAlign w:val="top"/>
          </w:tcPr>
          <w:p>
            <w:pPr>
              <w:widowControl w:val="0"/>
              <w:rPr>
                <w:sz w:val="10"/>
                <w:szCs w:val="10"/>
              </w:rPr>
            </w:pPr>
          </w:p>
        </w:tc>
      </w:tr>
      <w:tr>
        <w:trPr>
          <w:trHeight w:val="494"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не идентифицированным и не застрахованным в системе ОМС лицам</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20"/>
              <w:jc w:val="both"/>
              <w:rPr>
                <w:sz w:val="20"/>
                <w:szCs w:val="20"/>
              </w:rPr>
            </w:pPr>
            <w:r>
              <w:rPr>
                <w:rFonts w:ascii="Arial" w:eastAsia="Arial" w:hAnsi="Arial" w:cs="Arial"/>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16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вызовов</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r>
      <w:tr>
        <w:trPr>
          <w:trHeight w:val="49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скорая медицинская помощь при санитарно</w:t>
              <w:softHyphen/>
              <w:t>авиационной эвакуации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20"/>
              <w:jc w:val="both"/>
              <w:rPr>
                <w:sz w:val="20"/>
                <w:szCs w:val="20"/>
              </w:rPr>
            </w:pPr>
            <w:r>
              <w:rPr>
                <w:rFonts w:ascii="Arial" w:eastAsia="Arial" w:hAnsi="Arial" w:cs="Arial"/>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16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вызовов</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2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0,000015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0,000015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9 904,5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9 904,5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1 016,8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right w:val="single" w:sz="4"/>
            </w:tcBorders>
            <w:shd w:val="clear" w:color="auto" w:fill="auto"/>
            <w:vAlign w:val="top"/>
          </w:tcPr>
          <w:p>
            <w:pPr>
              <w:widowControl w:val="0"/>
              <w:rPr>
                <w:sz w:val="10"/>
                <w:szCs w:val="10"/>
              </w:rPr>
            </w:pPr>
          </w:p>
        </w:tc>
      </w:tr>
      <w:tr>
        <w:trPr>
          <w:trHeight w:val="494"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2. Первичная медико- санитарная помощь, предоставляемая: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20"/>
              <w:jc w:val="both"/>
              <w:rPr>
                <w:sz w:val="20"/>
                <w:szCs w:val="20"/>
              </w:rPr>
            </w:pPr>
            <w:r>
              <w:rPr>
                <w:rFonts w:ascii="Arial" w:eastAsia="Arial" w:hAnsi="Arial" w:cs="Arial"/>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854,0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1 517 262,6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15,1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r>
      <w:tr>
        <w:trPr>
          <w:trHeight w:val="33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7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2.1. В амбулаторных условиях:</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20"/>
              <w:jc w:val="both"/>
              <w:rPr>
                <w:sz w:val="20"/>
                <w:szCs w:val="20"/>
              </w:rPr>
            </w:pPr>
            <w:r>
              <w:rPr>
                <w:rFonts w:ascii="Arial" w:eastAsia="Arial" w:hAnsi="Arial" w:cs="Arial"/>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r>
      <w:tr>
        <w:trPr>
          <w:trHeight w:val="490"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2.1.1. С профилактической целью и иными целями</w:t>
            </w:r>
            <w:r>
              <w:rPr>
                <w:rFonts w:ascii="Arial" w:eastAsia="Arial" w:hAnsi="Arial" w:cs="Arial"/>
                <w:color w:val="000000"/>
                <w:spacing w:val="0"/>
                <w:w w:val="100"/>
                <w:position w:val="0"/>
                <w:sz w:val="20"/>
                <w:szCs w:val="20"/>
                <w:shd w:val="clear" w:color="auto" w:fill="auto"/>
                <w:vertAlign w:val="superscript"/>
                <w:lang w:val="ru-RU" w:eastAsia="ru-RU" w:bidi="ru-RU"/>
              </w:rPr>
              <w:t>4</w:t>
            </w:r>
            <w:r>
              <w:rPr>
                <w:rFonts w:ascii="Arial" w:eastAsia="Arial" w:hAnsi="Arial" w:cs="Arial"/>
                <w:color w:val="000000"/>
                <w:spacing w:val="0"/>
                <w:w w:val="100"/>
                <w:position w:val="0"/>
                <w:sz w:val="20"/>
                <w:szCs w:val="20"/>
                <w:shd w:val="clear" w:color="auto" w:fill="auto"/>
                <w:lang w:val="ru-RU" w:eastAsia="ru-RU" w:bidi="ru-RU"/>
              </w:rPr>
              <w:t>,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20"/>
              <w:jc w:val="both"/>
              <w:rPr>
                <w:sz w:val="20"/>
                <w:szCs w:val="20"/>
              </w:rPr>
            </w:pPr>
            <w:r>
              <w:rPr>
                <w:rFonts w:ascii="Arial" w:eastAsia="Arial" w:hAnsi="Arial" w:cs="Arial"/>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0,694605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0,694605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747,2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747,2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519,0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922 067,2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9,2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right w:val="single" w:sz="4"/>
            </w:tcBorders>
            <w:shd w:val="clear" w:color="auto" w:fill="auto"/>
            <w:vAlign w:val="top"/>
          </w:tcPr>
          <w:p>
            <w:pPr>
              <w:widowControl w:val="0"/>
              <w:rPr>
                <w:sz w:val="10"/>
                <w:szCs w:val="10"/>
              </w:rPr>
            </w:pPr>
          </w:p>
        </w:tc>
      </w:tr>
      <w:tr>
        <w:trPr>
          <w:trHeight w:val="494"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не идентифицированным и не застрахованным в системе ОМС лицам</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16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7.1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r>
      <w:tr>
        <w:trPr>
          <w:trHeight w:val="49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2.1.2. В связи с заболеваниями - обращений</w:t>
            </w:r>
            <w:r>
              <w:rPr>
                <w:rFonts w:ascii="Arial" w:eastAsia="Arial" w:hAnsi="Arial" w:cs="Arial"/>
                <w:color w:val="000000"/>
                <w:spacing w:val="0"/>
                <w:w w:val="100"/>
                <w:position w:val="0"/>
                <w:sz w:val="20"/>
                <w:szCs w:val="20"/>
                <w:shd w:val="clear" w:color="auto" w:fill="auto"/>
                <w:vertAlign w:val="superscript"/>
                <w:lang w:val="ru-RU" w:eastAsia="ru-RU" w:bidi="ru-RU"/>
              </w:rPr>
              <w:t>5</w:t>
            </w:r>
            <w:r>
              <w:rPr>
                <w:rFonts w:ascii="Arial" w:eastAsia="Arial" w:hAnsi="Arial" w:cs="Arial"/>
                <w:color w:val="000000"/>
                <w:spacing w:val="0"/>
                <w:w w:val="100"/>
                <w:position w:val="0"/>
                <w:sz w:val="20"/>
                <w:szCs w:val="20"/>
                <w:shd w:val="clear" w:color="auto" w:fill="auto"/>
                <w:lang w:val="ru-RU" w:eastAsia="ru-RU" w:bidi="ru-RU"/>
              </w:rPr>
              <w:t>,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2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обращений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0,143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0,143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2 342,8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2 342,8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335,0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595 195,4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5,9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right w:val="single" w:sz="4"/>
            </w:tcBorders>
            <w:shd w:val="clear" w:color="auto" w:fill="auto"/>
            <w:vAlign w:val="top"/>
          </w:tcPr>
          <w:p>
            <w:pPr>
              <w:widowControl w:val="0"/>
              <w:rPr>
                <w:sz w:val="10"/>
                <w:szCs w:val="10"/>
              </w:rPr>
            </w:pPr>
          </w:p>
        </w:tc>
      </w:tr>
      <w:tr>
        <w:trPr>
          <w:trHeight w:val="494"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не идентифицированным и не застрахованным в системе ОМС лицам</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8.1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обращений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r>
      <w:tr>
        <w:trPr>
          <w:trHeight w:val="33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6"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2.2. В условиях дневных стационаров</w:t>
            </w:r>
            <w:r>
              <w:rPr>
                <w:rFonts w:ascii="Arial" w:eastAsia="Arial" w:hAnsi="Arial" w:cs="Arial"/>
                <w:color w:val="000000"/>
                <w:spacing w:val="0"/>
                <w:w w:val="100"/>
                <w:position w:val="0"/>
                <w:sz w:val="20"/>
                <w:szCs w:val="20"/>
                <w:shd w:val="clear" w:color="auto" w:fill="auto"/>
                <w:vertAlign w:val="superscript"/>
                <w:lang w:val="ru-RU" w:eastAsia="ru-RU" w:bidi="ru-RU"/>
              </w:rPr>
              <w:t>6</w:t>
            </w:r>
            <w:r>
              <w:rPr>
                <w:rFonts w:ascii="Arial" w:eastAsia="Arial" w:hAnsi="Arial" w:cs="Arial"/>
                <w:color w:val="000000"/>
                <w:spacing w:val="0"/>
                <w:w w:val="100"/>
                <w:position w:val="0"/>
                <w:sz w:val="20"/>
                <w:szCs w:val="20"/>
                <w:shd w:val="clear" w:color="auto" w:fill="auto"/>
                <w:lang w:val="ru-RU" w:eastAsia="ru-RU" w:bidi="ru-RU"/>
              </w:rPr>
              <w:t>,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2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6" w:lineRule="auto"/>
              <w:ind w:left="160" w:right="0" w:firstLine="2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right w:val="single" w:sz="4"/>
            </w:tcBorders>
            <w:shd w:val="clear" w:color="auto" w:fill="auto"/>
            <w:vAlign w:val="top"/>
          </w:tcPr>
          <w:p>
            <w:pPr>
              <w:widowControl w:val="0"/>
              <w:rPr>
                <w:sz w:val="10"/>
                <w:szCs w:val="10"/>
              </w:rPr>
            </w:pPr>
          </w:p>
        </w:tc>
      </w:tr>
      <w:tr>
        <w:trPr>
          <w:trHeight w:val="49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не идентифицированным и не застрахованным в системе ОМС лицам</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16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9.1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166" w:lineRule="auto"/>
              <w:ind w:left="160" w:right="0" w:firstLine="2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r>
      <w:tr>
        <w:trPr>
          <w:trHeight w:val="1138"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3. В условиях дневных стационаров(первичная медико-санитарная помощь, специализированная медицинская помощь)</w:t>
            </w:r>
            <w:r>
              <w:rPr>
                <w:rFonts w:ascii="Arial" w:eastAsia="Arial" w:hAnsi="Arial" w:cs="Arial"/>
                <w:color w:val="000000"/>
                <w:spacing w:val="0"/>
                <w:w w:val="100"/>
                <w:position w:val="0"/>
                <w:sz w:val="20"/>
                <w:szCs w:val="20"/>
                <w:shd w:val="clear" w:color="auto" w:fill="auto"/>
                <w:vertAlign w:val="superscript"/>
                <w:lang w:val="ru-RU" w:eastAsia="ru-RU" w:bidi="ru-RU"/>
              </w:rPr>
              <w:t>6</w:t>
            </w:r>
            <w:r>
              <w:rPr>
                <w:rFonts w:ascii="Arial" w:eastAsia="Arial" w:hAnsi="Arial" w:cs="Arial"/>
                <w:color w:val="000000"/>
                <w:spacing w:val="0"/>
                <w:w w:val="100"/>
                <w:position w:val="0"/>
                <w:sz w:val="20"/>
                <w:szCs w:val="20"/>
                <w:shd w:val="clear" w:color="auto" w:fill="auto"/>
                <w:lang w:val="ru-RU" w:eastAsia="ru-RU" w:bidi="ru-RU"/>
              </w:rPr>
              <w:t>,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2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10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166" w:lineRule="auto"/>
              <w:ind w:left="160" w:right="0" w:firstLine="2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2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0,003933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0,003933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23 347,4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23 347,4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91,8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163 128,3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right w:val="single" w:sz="4"/>
            </w:tcBorders>
            <w:shd w:val="clear" w:color="auto" w:fill="auto"/>
            <w:vAlign w:val="top"/>
          </w:tcPr>
          <w:p>
            <w:pPr>
              <w:widowControl w:val="0"/>
              <w:rPr>
                <w:sz w:val="10"/>
                <w:szCs w:val="10"/>
              </w:rPr>
            </w:pPr>
          </w:p>
        </w:tc>
      </w:tr>
      <w:tr>
        <w:trPr>
          <w:trHeight w:val="49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не идентифицированным и не застрахованным в системе ОМС лицам</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10.1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170" w:lineRule="auto"/>
              <w:ind w:left="160" w:right="0" w:firstLine="2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r>
      <w:tr>
        <w:trPr>
          <w:trHeight w:val="653"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4. Специализированная, в том числе высокотехнологичная, медицинская помощь</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2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II</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0,01682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0,01682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113 239,5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113 239,5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1 950,1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з 464 448,4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34,5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right w:val="single" w:sz="4"/>
            </w:tcBorders>
            <w:shd w:val="clear" w:color="auto" w:fill="auto"/>
            <w:vAlign w:val="top"/>
          </w:tcPr>
          <w:p>
            <w:pPr>
              <w:widowControl w:val="0"/>
              <w:rPr>
                <w:sz w:val="10"/>
                <w:szCs w:val="10"/>
              </w:rPr>
            </w:pPr>
          </w:p>
        </w:tc>
      </w:tr>
      <w:tr>
        <w:trPr>
          <w:trHeight w:val="33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6"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4.1. В условиях дневных стационаров</w:t>
            </w:r>
            <w:r>
              <w:rPr>
                <w:rFonts w:ascii="Arial" w:eastAsia="Arial" w:hAnsi="Arial" w:cs="Arial"/>
                <w:color w:val="000000"/>
                <w:spacing w:val="0"/>
                <w:w w:val="100"/>
                <w:position w:val="0"/>
                <w:sz w:val="20"/>
                <w:szCs w:val="20"/>
                <w:shd w:val="clear" w:color="auto" w:fill="auto"/>
                <w:vertAlign w:val="superscript"/>
                <w:lang w:val="ru-RU" w:eastAsia="ru-RU" w:bidi="ru-RU"/>
              </w:rPr>
              <w:t>6</w:t>
            </w:r>
            <w:r>
              <w:rPr>
                <w:rFonts w:ascii="Arial" w:eastAsia="Arial" w:hAnsi="Arial" w:cs="Arial"/>
                <w:color w:val="000000"/>
                <w:spacing w:val="0"/>
                <w:w w:val="100"/>
                <w:position w:val="0"/>
                <w:sz w:val="20"/>
                <w:szCs w:val="20"/>
                <w:shd w:val="clear" w:color="auto" w:fill="auto"/>
                <w:lang w:val="ru-RU" w:eastAsia="ru-RU" w:bidi="ru-RU"/>
              </w:rPr>
              <w:t>,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6" w:lineRule="auto"/>
              <w:ind w:left="160" w:right="0" w:firstLine="2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right w:val="single" w:sz="4"/>
            </w:tcBorders>
            <w:shd w:val="clear" w:color="auto" w:fill="auto"/>
            <w:vAlign w:val="top"/>
          </w:tcPr>
          <w:p>
            <w:pPr>
              <w:widowControl w:val="0"/>
              <w:rPr>
                <w:sz w:val="10"/>
                <w:szCs w:val="10"/>
              </w:rPr>
            </w:pPr>
          </w:p>
        </w:tc>
      </w:tr>
      <w:tr>
        <w:trPr>
          <w:trHeight w:val="499"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не идентифицированным и не застрахованным в системе ОМС лицам</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12.1</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166" w:lineRule="auto"/>
              <w:ind w:left="160" w:right="0" w:firstLine="2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случаев лечения</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r>
    </w:tbl>
    <w:p>
      <w:pPr>
        <w:sectPr>
          <w:headerReference w:type="default" r:id="rId38"/>
          <w:footnotePr>
            <w:pos w:val="pageBottom"/>
            <w:numFmt w:val="decimal"/>
            <w:numStart w:val="1"/>
            <w:numRestart w:val="continuous"/>
            <w15:footnoteColumns w:val="1"/>
          </w:footnotePr>
          <w:pgSz w:w="16840" w:h="11900" w:orient="landscape"/>
          <w:pgMar w:top="1005" w:right="383" w:bottom="661" w:left="627" w:header="577" w:footer="233" w:gutter="0"/>
          <w:pgNumType w:start="200"/>
          <w:cols w:space="720"/>
          <w:noEndnote/>
          <w:rtlGutter w:val="0"/>
          <w:docGrid w:linePitch="360"/>
        </w:sectPr>
      </w:pPr>
    </w:p>
    <w:tbl>
      <w:tblPr>
        <w:tblOverlap w:val="never"/>
        <w:jc w:val="center"/>
        <w:tblLayout w:type="fixed"/>
      </w:tblPr>
      <w:tblGrid>
        <w:gridCol w:w="1848"/>
        <w:gridCol w:w="571"/>
        <w:gridCol w:w="845"/>
        <w:gridCol w:w="1003"/>
        <w:gridCol w:w="1267"/>
        <w:gridCol w:w="1003"/>
        <w:gridCol w:w="989"/>
        <w:gridCol w:w="1272"/>
        <w:gridCol w:w="994"/>
        <w:gridCol w:w="1272"/>
        <w:gridCol w:w="1090"/>
        <w:gridCol w:w="1176"/>
        <w:gridCol w:w="686"/>
        <w:gridCol w:w="1018"/>
        <w:gridCol w:w="797"/>
      </w:tblGrid>
      <w:tr>
        <w:trPr>
          <w:trHeight w:val="178"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8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13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14</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15</w:t>
            </w:r>
          </w:p>
        </w:tc>
      </w:tr>
      <w:tr>
        <w:trPr>
          <w:trHeight w:val="518"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4.2. В условиях круглосуточных стационаров,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2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13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случаев госпитали</w:t>
              <w:softHyphen/>
              <w:t>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2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0,013545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0,013545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143 968,1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143 968,1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1 950,1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з 464 448,4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34,5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right w:val="single" w:sz="4"/>
            </w:tcBorders>
            <w:shd w:val="clear" w:color="auto" w:fill="auto"/>
            <w:vAlign w:val="top"/>
          </w:tcPr>
          <w:p>
            <w:pPr>
              <w:widowControl w:val="0"/>
              <w:rPr>
                <w:sz w:val="10"/>
                <w:szCs w:val="10"/>
              </w:rPr>
            </w:pPr>
          </w:p>
        </w:tc>
      </w:tr>
      <w:tr>
        <w:trPr>
          <w:trHeight w:val="494"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не идентифицированным и не застрахованным в системе ОМС лицам</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16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13.1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8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r>
      <w:tr>
        <w:trPr>
          <w:trHeight w:val="3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6"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5. Медицинская реабилитация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14</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12,2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21 580,3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0,2</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3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6"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5.1. в амбулаторных условиях</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16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14.1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6"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2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0,000395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0,000395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6 654,2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6 654,2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4 671,2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0,06</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3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7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5.2. в условиях дневных стационаров</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16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14.2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70" w:lineRule="auto"/>
              <w:ind w:left="160" w:right="0" w:firstLine="2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2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0,000047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0,000047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23 933,4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23 933,4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1 986,5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0,04</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94"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5.3. в условиях круглосуточных стационаров</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14.3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7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случаев госпитали</w:t>
              <w:softHyphen/>
            </w:r>
          </w:p>
          <w:p>
            <w:pPr>
              <w:pStyle w:val="Style23"/>
              <w:keepNext w:val="0"/>
              <w:keepLines w:val="0"/>
              <w:widowControl w:val="0"/>
              <w:shd w:val="clear" w:color="auto" w:fill="auto"/>
              <w:bidi w:val="0"/>
              <w:spacing w:before="0" w:after="0" w:line="17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2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0,000055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0,000055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152 271,2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152 271,2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8,4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14 922,6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о,1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3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6. Паллиативная</w:t>
            </w:r>
          </w:p>
          <w:p>
            <w:pPr>
              <w:pStyle w:val="Style23"/>
              <w:keepNext w:val="0"/>
              <w:keepLines w:val="0"/>
              <w:widowControl w:val="0"/>
              <w:shd w:val="clear" w:color="auto" w:fill="auto"/>
              <w:bidi w:val="0"/>
              <w:spacing w:before="0" w:after="0" w:line="18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медицинская помощь:</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15</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423,8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752 968,0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7,4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right w:val="single" w:sz="4"/>
            </w:tcBorders>
            <w:shd w:val="clear" w:color="auto" w:fill="auto"/>
            <w:vAlign w:val="top"/>
          </w:tcPr>
          <w:p>
            <w:pPr>
              <w:widowControl w:val="0"/>
              <w:rPr>
                <w:sz w:val="10"/>
                <w:szCs w:val="10"/>
              </w:rPr>
            </w:pPr>
          </w:p>
        </w:tc>
      </w:tr>
      <w:tr>
        <w:trPr>
          <w:trHeight w:val="1138"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6.1. Первичная медицинская помощь, в том числе доврачебная и врачебная (включая ветеранов боевых действий)</w:t>
            </w:r>
            <w:r>
              <w:rPr>
                <w:rFonts w:ascii="Arial" w:eastAsia="Arial" w:hAnsi="Arial" w:cs="Arial"/>
                <w:color w:val="000000"/>
                <w:spacing w:val="0"/>
                <w:w w:val="100"/>
                <w:position w:val="0"/>
                <w:sz w:val="20"/>
                <w:szCs w:val="20"/>
                <w:shd w:val="clear" w:color="auto" w:fill="auto"/>
                <w:vertAlign w:val="superscript"/>
                <w:lang w:val="ru-RU" w:eastAsia="ru-RU" w:bidi="ru-RU"/>
              </w:rPr>
              <w:t>4</w:t>
            </w:r>
            <w:r>
              <w:rPr>
                <w:rFonts w:ascii="Arial" w:eastAsia="Arial" w:hAnsi="Arial" w:cs="Arial"/>
                <w:color w:val="000000"/>
                <w:spacing w:val="0"/>
                <w:w w:val="100"/>
                <w:position w:val="0"/>
                <w:sz w:val="20"/>
                <w:szCs w:val="20"/>
                <w:shd w:val="clear" w:color="auto" w:fill="auto"/>
                <w:lang w:val="ru-RU" w:eastAsia="ru-RU" w:bidi="ru-RU"/>
              </w:rPr>
              <w:t>, всего,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1 450,9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1 450,9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43,5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77 327,1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right w:val="single" w:sz="4"/>
            </w:tcBorders>
            <w:shd w:val="clear" w:color="auto" w:fill="auto"/>
            <w:vAlign w:val="top"/>
          </w:tcPr>
          <w:p>
            <w:pPr>
              <w:widowControl w:val="0"/>
              <w:rPr>
                <w:sz w:val="10"/>
                <w:szCs w:val="10"/>
              </w:rPr>
            </w:pPr>
          </w:p>
        </w:tc>
      </w:tr>
      <w:tr>
        <w:trPr>
          <w:trHeight w:val="81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посещение по паллиативной медицинской помощи без учета посещений на дому патронажными бригадами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16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16.1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0,022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0,022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705,5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705,5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15,5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27 574,5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right w:val="single" w:sz="4"/>
            </w:tcBorders>
            <w:shd w:val="clear" w:color="auto" w:fill="auto"/>
            <w:vAlign w:val="top"/>
          </w:tcPr>
          <w:p>
            <w:pPr>
              <w:widowControl w:val="0"/>
              <w:rPr>
                <w:sz w:val="10"/>
                <w:szCs w:val="10"/>
              </w:rPr>
            </w:pPr>
          </w:p>
        </w:tc>
      </w:tr>
      <w:tr>
        <w:trPr>
          <w:trHeight w:val="49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посещения на дому выездными патронажными бригадами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16.2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2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0,008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0,008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3 500,5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3 500,5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28,0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49 752,6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right w:val="single" w:sz="4"/>
            </w:tcBorders>
            <w:shd w:val="clear" w:color="auto" w:fill="auto"/>
            <w:vAlign w:val="top"/>
          </w:tcPr>
          <w:p>
            <w:pPr>
              <w:widowControl w:val="0"/>
              <w:rPr>
                <w:sz w:val="10"/>
                <w:szCs w:val="10"/>
              </w:rPr>
            </w:pPr>
          </w:p>
        </w:tc>
      </w:tr>
      <w:tr>
        <w:trPr>
          <w:trHeight w:val="331"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17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в том числе для детского населения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16.2.1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2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0,000604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0,000604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3 500,5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3 500,5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3 756,0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8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right w:val="single" w:sz="4"/>
            </w:tcBorders>
            <w:shd w:val="clear" w:color="auto" w:fill="auto"/>
            <w:vAlign w:val="top"/>
          </w:tcPr>
          <w:p>
            <w:pPr>
              <w:widowControl w:val="0"/>
              <w:rPr>
                <w:sz w:val="10"/>
                <w:szCs w:val="10"/>
              </w:rPr>
            </w:pPr>
          </w:p>
        </w:tc>
      </w:tr>
      <w:tr>
        <w:trPr>
          <w:trHeight w:val="162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6.2.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койко-дней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0,092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0,092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4 133,7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4 133,7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380,3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675 640,9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6,6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right w:val="single" w:sz="4"/>
            </w:tcBorders>
            <w:shd w:val="clear" w:color="auto" w:fill="auto"/>
            <w:vAlign w:val="top"/>
          </w:tcPr>
          <w:p>
            <w:pPr>
              <w:widowControl w:val="0"/>
              <w:rPr>
                <w:sz w:val="10"/>
                <w:szCs w:val="10"/>
              </w:rPr>
            </w:pPr>
          </w:p>
        </w:tc>
      </w:tr>
      <w:tr>
        <w:trPr>
          <w:trHeight w:val="331"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17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в том числе для детского населения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16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17.1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койко-дней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2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0,004108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0,004108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4 156,5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4 156,5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17,1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30 334,1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right w:val="single" w:sz="4"/>
            </w:tcBorders>
            <w:shd w:val="clear" w:color="auto" w:fill="auto"/>
            <w:vAlign w:val="top"/>
          </w:tcPr>
          <w:p>
            <w:pPr>
              <w:widowControl w:val="0"/>
              <w:rPr>
                <w:sz w:val="10"/>
                <w:szCs w:val="10"/>
              </w:rPr>
            </w:pPr>
          </w:p>
        </w:tc>
      </w:tr>
      <w:tr>
        <w:trPr>
          <w:trHeight w:val="653"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6.3. Паллиативная медицинская помощь в условиях дневного стационара</w:t>
            </w:r>
            <w:r>
              <w:rPr>
                <w:rFonts w:ascii="Arial" w:eastAsia="Arial" w:hAnsi="Arial" w:cs="Arial"/>
                <w:color w:val="000000"/>
                <w:spacing w:val="0"/>
                <w:w w:val="100"/>
                <w:position w:val="0"/>
                <w:sz w:val="20"/>
                <w:szCs w:val="20"/>
                <w:shd w:val="clear" w:color="auto" w:fill="auto"/>
                <w:vertAlign w:val="superscript"/>
                <w:lang w:val="ru-RU" w:eastAsia="ru-RU" w:bidi="ru-RU"/>
              </w:rPr>
              <w:t>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166" w:lineRule="auto"/>
              <w:ind w:left="160" w:right="0" w:firstLine="2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8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right w:val="single" w:sz="4"/>
            </w:tcBorders>
            <w:shd w:val="clear" w:color="auto" w:fill="auto"/>
            <w:vAlign w:val="top"/>
          </w:tcPr>
          <w:p>
            <w:pPr>
              <w:widowControl w:val="0"/>
              <w:rPr>
                <w:sz w:val="10"/>
                <w:szCs w:val="10"/>
              </w:rPr>
            </w:pPr>
          </w:p>
        </w:tc>
      </w:tr>
      <w:tr>
        <w:trPr>
          <w:trHeight w:val="667"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II. Ненормируемая медицинская помощь и прочие виды медицинских и иных услуг, в том числе:</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Б</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1 136,6</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2 019 347,8</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2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19,8</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1848"/>
        <w:gridCol w:w="571"/>
        <w:gridCol w:w="845"/>
        <w:gridCol w:w="1003"/>
        <w:gridCol w:w="1267"/>
        <w:gridCol w:w="1003"/>
        <w:gridCol w:w="989"/>
        <w:gridCol w:w="1272"/>
        <w:gridCol w:w="994"/>
        <w:gridCol w:w="1272"/>
        <w:gridCol w:w="1090"/>
        <w:gridCol w:w="1176"/>
        <w:gridCol w:w="686"/>
        <w:gridCol w:w="1018"/>
        <w:gridCol w:w="797"/>
      </w:tblGrid>
      <w:tr>
        <w:trPr>
          <w:trHeight w:val="178"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14</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2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15</w:t>
            </w:r>
          </w:p>
        </w:tc>
      </w:tr>
      <w:tr>
        <w:trPr>
          <w:trHeight w:val="419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7. Медицинские и иные государственные и муниципальные услуги (работы), оказываемые (выполняемые) в медицинских организациях, подведомственных органу исполнительной власти Омской области и органам местного самоуправления соответственно, входящих в номенклатуру медицинских организаций, утверждаемую Министерством здравоохранения Российской Федерации (далее - подведомственные медицинские организации)</w:t>
            </w:r>
            <w:r>
              <w:rPr>
                <w:rFonts w:ascii="Arial" w:eastAsia="Arial" w:hAnsi="Arial" w:cs="Arial"/>
                <w:color w:val="000000"/>
                <w:spacing w:val="0"/>
                <w:w w:val="100"/>
                <w:position w:val="0"/>
                <w:sz w:val="20"/>
                <w:szCs w:val="20"/>
                <w:shd w:val="clear" w:color="auto" w:fill="auto"/>
                <w:vertAlign w:val="superscript"/>
                <w:lang w:val="ru-RU" w:eastAsia="ru-RU" w:bidi="ru-RU"/>
              </w:rPr>
              <w:t>8</w:t>
            </w:r>
            <w:r>
              <w:rPr>
                <w:rFonts w:ascii="Arial" w:eastAsia="Arial" w:hAnsi="Arial" w:cs="Arial"/>
                <w:color w:val="000000"/>
                <w:spacing w:val="0"/>
                <w:w w:val="100"/>
                <w:position w:val="0"/>
                <w:sz w:val="20"/>
                <w:szCs w:val="20"/>
                <w:shd w:val="clear" w:color="auto" w:fill="auto"/>
                <w:lang w:val="ru-RU" w:eastAsia="ru-RU" w:bidi="ru-RU"/>
              </w:rPr>
              <w:t>, за исключением медицинской помощи, оказываемой за счет средств ОМС</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813,1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 444 482,7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14,1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right w:val="single" w:sz="4"/>
            </w:tcBorders>
            <w:shd w:val="clear" w:color="auto" w:fill="auto"/>
            <w:vAlign w:val="top"/>
          </w:tcPr>
          <w:p>
            <w:pPr>
              <w:widowControl w:val="0"/>
              <w:rPr>
                <w:sz w:val="10"/>
                <w:szCs w:val="10"/>
              </w:rPr>
            </w:pPr>
          </w:p>
        </w:tc>
      </w:tr>
      <w:tr>
        <w:trPr>
          <w:trHeight w:val="979"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8. Высокотехнологичная медицинская помощь, оказываемая в подведомственных медицинских организациях,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0,0009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0,0009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352 941,2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352 941,2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320,8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570 000,0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5,7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right w:val="single" w:sz="4"/>
            </w:tcBorders>
            <w:shd w:val="clear" w:color="auto" w:fill="auto"/>
            <w:vAlign w:val="top"/>
          </w:tcPr>
          <w:p>
            <w:pPr>
              <w:widowControl w:val="0"/>
              <w:rPr>
                <w:sz w:val="10"/>
                <w:szCs w:val="10"/>
              </w:rPr>
            </w:pPr>
          </w:p>
        </w:tc>
      </w:tr>
      <w:tr>
        <w:trPr>
          <w:trHeight w:val="226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8.1. Не включенная в базовую программу ОМС и предусмотренная соответствующим приложением к программе государственных гарантий бесплатного оказания гражданам медицинской помощи, утверждаемой постановлением Правительства Российской Федерации (далее - Программа)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20.1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0,0009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0,0009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352 941,2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352 941,2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320,8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570 000,0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5,7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r>
      <w:tr>
        <w:trPr>
          <w:trHeight w:val="1618"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8.2. Дополнительные объемы высокотехнологичной медицинской помощи, включенной в базовую программу ОМС в соответствии с</w:t>
            </w:r>
          </w:p>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соответствующим приложением к Программе</w:t>
            </w:r>
            <w:r>
              <w:rPr>
                <w:rFonts w:ascii="Arial" w:eastAsia="Arial" w:hAnsi="Arial" w:cs="Arial"/>
                <w:color w:val="000000"/>
                <w:spacing w:val="0"/>
                <w:w w:val="100"/>
                <w:position w:val="0"/>
                <w:sz w:val="20"/>
                <w:szCs w:val="20"/>
                <w:shd w:val="clear" w:color="auto" w:fill="auto"/>
                <w:vertAlign w:val="superscript"/>
                <w:lang w:val="ru-RU" w:eastAsia="ru-RU" w:bidi="ru-RU"/>
              </w:rPr>
              <w:t>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20.2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r>
      <w:tr>
        <w:trPr>
          <w:trHeight w:val="499"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17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9. Расходы на содержание и обеспечение</w:t>
            </w:r>
          </w:p>
          <w:p>
            <w:pPr>
              <w:pStyle w:val="Style23"/>
              <w:keepNext w:val="0"/>
              <w:keepLines w:val="0"/>
              <w:widowControl w:val="0"/>
              <w:shd w:val="clear" w:color="auto" w:fill="auto"/>
              <w:bidi w:val="0"/>
              <w:spacing w:before="0" w:after="0" w:line="17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деятельности</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21</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2,7</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4 865,1</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r>
    </w:tbl>
    <w:p>
      <w:pPr>
        <w:spacing w:lineRule="exact" w:line="1"/>
        <w:rPr>
          <w:sz w:val="2"/>
          <w:szCs w:val="2"/>
        </w:rPr>
      </w:pPr>
      <w:r>
        <w:br w:type="page"/>
      </w:r>
    </w:p>
    <w:tbl>
      <w:tblPr>
        <w:tblOverlap w:val="never"/>
        <w:jc w:val="center"/>
        <w:tblLayout w:type="fixed"/>
      </w:tblPr>
      <w:tblGrid>
        <w:gridCol w:w="1848"/>
        <w:gridCol w:w="571"/>
        <w:gridCol w:w="845"/>
        <w:gridCol w:w="1003"/>
        <w:gridCol w:w="1267"/>
        <w:gridCol w:w="1003"/>
        <w:gridCol w:w="989"/>
        <w:gridCol w:w="1272"/>
        <w:gridCol w:w="994"/>
        <w:gridCol w:w="1272"/>
        <w:gridCol w:w="1090"/>
        <w:gridCol w:w="1176"/>
        <w:gridCol w:w="686"/>
        <w:gridCol w:w="1018"/>
        <w:gridCol w:w="797"/>
      </w:tblGrid>
      <w:tr>
        <w:trPr>
          <w:trHeight w:val="178"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14</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15</w:t>
            </w:r>
          </w:p>
        </w:tc>
      </w:tr>
      <w:tr>
        <w:trPr>
          <w:trHeight w:val="494"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подведомственных медицинских организаций, из них на: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454"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9.1. Финансовое обеспечение расходов, не включенных в структуру тарифов на оплату медицинской помощи, предусмотренную в территориальной программе ОМС (далее - тарифы ОМС)</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21.1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r>
      <w:tr>
        <w:trPr>
          <w:trHeight w:val="1944"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9.2.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21.2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4 865,1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r>
      <w:tr>
        <w:trPr>
          <w:trHeight w:val="1618"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III.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Омской области,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В</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1 204,6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2 140 002,3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21,3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r>
      <w:tr>
        <w:trPr>
          <w:trHeight w:val="1464"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10. Обеспечение при амбулаторном лечении (бесплатно или с пятидесятипроцентной скидкой) лекарственными препаратами, медицинскими изделиями, продуктами лечебного (энтерального) питания</w:t>
            </w:r>
            <w:r>
              <w:rPr>
                <w:rFonts w:ascii="Arial" w:eastAsia="Arial" w:hAnsi="Arial" w:cs="Arial"/>
                <w:color w:val="000000"/>
                <w:spacing w:val="0"/>
                <w:w w:val="100"/>
                <w:position w:val="0"/>
                <w:sz w:val="20"/>
                <w:szCs w:val="20"/>
                <w:shd w:val="clear" w:color="auto" w:fill="auto"/>
                <w:vertAlign w:val="superscript"/>
                <w:lang w:val="ru-RU" w:eastAsia="ru-RU" w:bidi="ru-RU"/>
              </w:rPr>
              <w:t>10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1 182,1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2 100 000,0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20,9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r>
      <w:tr>
        <w:trPr>
          <w:trHeight w:val="49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17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11. Бесплатное (со скидкой) зубное протезирование</w:t>
            </w:r>
            <w:r>
              <w:rPr>
                <w:rFonts w:ascii="Arial" w:eastAsia="Arial" w:hAnsi="Arial" w:cs="Arial"/>
                <w:color w:val="000000"/>
                <w:spacing w:val="0"/>
                <w:w w:val="100"/>
                <w:position w:val="0"/>
                <w:sz w:val="20"/>
                <w:szCs w:val="20"/>
                <w:shd w:val="clear" w:color="auto" w:fill="auto"/>
                <w:vertAlign w:val="superscript"/>
                <w:lang w:val="ru-RU" w:eastAsia="ru-RU" w:bidi="ru-RU"/>
              </w:rPr>
              <w:t>11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22,5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40 002,3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r>
      <w:tr>
        <w:trPr>
          <w:trHeight w:val="1627"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168"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ru-RU" w:eastAsia="ru-RU" w:bidi="ru-RU"/>
              </w:rPr>
              <w:t>12.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24</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c>
          <w:tcPr>
            <w:tcBorders>
              <w:top w:val="single" w:sz="4"/>
              <w:left w:val="single" w:sz="4"/>
              <w:bottom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ru-RU" w:eastAsia="ru-RU" w:bidi="ru-RU"/>
              </w:rPr>
              <w:t>X</w:t>
            </w:r>
          </w:p>
        </w:tc>
      </w:tr>
    </w:tbl>
    <w:p>
      <w:pPr>
        <w:pStyle w:val="Style4"/>
        <w:keepNext w:val="0"/>
        <w:keepLines w:val="0"/>
        <w:widowControl w:val="0"/>
        <w:numPr>
          <w:ilvl w:val="0"/>
          <w:numId w:val="147"/>
        </w:numPr>
        <w:shd w:val="clear" w:color="auto" w:fill="auto"/>
        <w:tabs>
          <w:tab w:pos="903"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Общий норматив финансовых затрат на единицу объема медицинской помощи в графе 7, оказываемой за счет бюджетных ассигнований, включая средства МБТ в бюджет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ОМС сверх установленных базовой программой ОМС, рассчитывается как сумма производных норматива объема медицинской помощи в графе 5 на норматив финансовых затрат на единицу объема медицинской помощи в графе 8 и норматива объема медицинской помощи, оказываемой по территориальной программе ОМС сверх базовой программы ОМС, в графе 6 на норматив финансовых затрат на единицу объема медицинской помощи, оказываемой по территориальной программе ОМС сверх базовой программы ОМС, в графе 9, разделенная на общий норматив объема медицинской помощи в графе 4.</w:t>
      </w:r>
    </w:p>
    <w:p>
      <w:pPr>
        <w:pStyle w:val="Style4"/>
        <w:keepNext w:val="0"/>
        <w:keepLines w:val="0"/>
        <w:widowControl w:val="0"/>
        <w:numPr>
          <w:ilvl w:val="0"/>
          <w:numId w:val="147"/>
        </w:numPr>
        <w:shd w:val="clear" w:color="auto" w:fill="auto"/>
        <w:tabs>
          <w:tab w:pos="927"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Для расчета подушевых нормативов финансирования территориальной программы за счет средств областного бюджета используются данные Территориального органа Федеральной службы государственной статистики по Омской области о численности населения Омской области по состоянию на 1 января 2026 года. В соответствии с указанными данными численность населения Омской области на 1 января 2026 года составила 1 776,6 тыс. человек.</w:t>
      </w:r>
    </w:p>
    <w:p>
      <w:pPr>
        <w:pStyle w:val="Style4"/>
        <w:keepNext w:val="0"/>
        <w:keepLines w:val="0"/>
        <w:widowControl w:val="0"/>
        <w:numPr>
          <w:ilvl w:val="0"/>
          <w:numId w:val="147"/>
        </w:numPr>
        <w:shd w:val="clear" w:color="auto" w:fill="auto"/>
        <w:tabs>
          <w:tab w:pos="918"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устанавливаются субъектом Российской Федерации.</w:t>
      </w:r>
    </w:p>
    <w:p>
      <w:pPr>
        <w:pStyle w:val="Style4"/>
        <w:keepNext w:val="0"/>
        <w:keepLines w:val="0"/>
        <w:widowControl w:val="0"/>
        <w:numPr>
          <w:ilvl w:val="0"/>
          <w:numId w:val="147"/>
        </w:numPr>
        <w:shd w:val="clear" w:color="auto" w:fill="auto"/>
        <w:tabs>
          <w:tab w:pos="927"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посещения по паллиативной медицинской помощи, в том числе посещения на дому выездными патронажными бригадами, для которых устанавливаются отдельные нормативы (строка 15), при этом объемы паллиативной медицинской помощи, оказанной в амбулаторных условия и на дому, учитываются в посещениях с профилактической и иными целями (строка 7).</w:t>
      </w:r>
    </w:p>
    <w:p>
      <w:pPr>
        <w:pStyle w:val="Style4"/>
        <w:keepNext w:val="0"/>
        <w:keepLines w:val="0"/>
        <w:widowControl w:val="0"/>
        <w:numPr>
          <w:ilvl w:val="0"/>
          <w:numId w:val="147"/>
        </w:numPr>
        <w:shd w:val="clear" w:color="auto" w:fill="auto"/>
        <w:tabs>
          <w:tab w:pos="922" w:val="left"/>
        </w:tabs>
        <w:bidi w:val="0"/>
        <w:spacing w:before="0" w:after="0" w:line="240" w:lineRule="auto"/>
        <w:ind w:left="0" w:right="0" w:firstLine="700"/>
        <w:jc w:val="both"/>
      </w:pPr>
      <w:r>
        <w:rPr>
          <w:color w:val="000000"/>
          <w:spacing w:val="0"/>
          <w:w w:val="100"/>
          <w:position w:val="0"/>
          <w:shd w:val="clear" w:color="auto" w:fill="auto"/>
          <w:lang w:val="ru-RU" w:eastAsia="ru-RU" w:bidi="ru-RU"/>
        </w:rPr>
        <w:t>Законченных случаев лечения заболевания в амбулаторных условиях с кратностью посещений по поводу одного заболевания не менее 2.</w:t>
      </w:r>
    </w:p>
    <w:p>
      <w:pPr>
        <w:pStyle w:val="Style4"/>
        <w:keepNext w:val="0"/>
        <w:keepLines w:val="0"/>
        <w:widowControl w:val="0"/>
        <w:numPr>
          <w:ilvl w:val="0"/>
          <w:numId w:val="147"/>
        </w:numPr>
        <w:shd w:val="clear" w:color="auto" w:fill="auto"/>
        <w:tabs>
          <w:tab w:pos="922" w:val="left"/>
        </w:tabs>
        <w:bidi w:val="0"/>
        <w:spacing w:before="0" w:after="0" w:line="240" w:lineRule="auto"/>
        <w:ind w:left="0" w:right="0" w:firstLine="700"/>
        <w:jc w:val="both"/>
      </w:pPr>
      <w:r>
        <w:rPr>
          <w:color w:val="000000"/>
          <w:spacing w:val="0"/>
          <w:w w:val="100"/>
          <w:position w:val="0"/>
          <w:shd w:val="clear" w:color="auto" w:fill="auto"/>
          <w:lang w:val="ru-RU" w:eastAsia="ru-RU" w:bidi="ru-RU"/>
        </w:rPr>
        <w:t>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по профилю «медицинская реабилитация» и случаи оказания паллиативной медицинской помощи в условиях дневного стационара, с учетом реальной потребности населения, а также общие нормативы объема и стоимости единицы объема медицинской помощи в условиях дневного стационара.</w:t>
      </w:r>
    </w:p>
    <w:p>
      <w:pPr>
        <w:pStyle w:val="Style4"/>
        <w:keepNext w:val="0"/>
        <w:keepLines w:val="0"/>
        <w:widowControl w:val="0"/>
        <w:numPr>
          <w:ilvl w:val="0"/>
          <w:numId w:val="147"/>
        </w:numPr>
        <w:shd w:val="clear" w:color="auto" w:fill="auto"/>
        <w:tabs>
          <w:tab w:pos="927"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Субъект Российской Федерации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(строка 17), при этом объемы паллиативной медицинской помощи, оказанной в дневном стационаре, учитываются в случаях лечения в условиях дневного стационара (строки 9, 10, 12).</w:t>
      </w:r>
    </w:p>
    <w:p>
      <w:pPr>
        <w:pStyle w:val="Style4"/>
        <w:keepNext w:val="0"/>
        <w:keepLines w:val="0"/>
        <w:widowControl w:val="0"/>
        <w:numPr>
          <w:ilvl w:val="0"/>
          <w:numId w:val="147"/>
        </w:numPr>
        <w:shd w:val="clear" w:color="auto" w:fill="auto"/>
        <w:tabs>
          <w:tab w:pos="93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Программе, финансовое обеспечение которых осуществляется за счет средств ОМС в рамках базовой программы ОМС),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Министерством здравоохранения Российской Федерации, и помощи, включенной в базовую программу ОМС) (за исключением первичной медико-санитарной помощи, включенной в базовую программу ОМС).</w:t>
      </w:r>
    </w:p>
    <w:p>
      <w:pPr>
        <w:pStyle w:val="Style4"/>
        <w:keepNext w:val="0"/>
        <w:keepLines w:val="0"/>
        <w:widowControl w:val="0"/>
        <w:numPr>
          <w:ilvl w:val="0"/>
          <w:numId w:val="147"/>
        </w:numPr>
        <w:shd w:val="clear" w:color="auto" w:fill="auto"/>
        <w:tabs>
          <w:tab w:pos="922" w:val="left"/>
        </w:tabs>
        <w:bidi w:val="0"/>
        <w:spacing w:before="0" w:after="0" w:line="240" w:lineRule="auto"/>
        <w:ind w:left="0" w:right="0" w:firstLine="720"/>
        <w:jc w:val="both"/>
      </w:pPr>
      <w:r>
        <w:rPr>
          <w:color w:val="000000"/>
          <w:spacing w:val="0"/>
          <w:w w:val="100"/>
          <w:position w:val="0"/>
          <w:shd w:val="clear" w:color="auto" w:fill="auto"/>
          <w:lang w:val="ru-RU" w:eastAsia="ru-RU" w:bidi="ru-RU"/>
        </w:rPr>
        <w:t>Указываются расходы консолидированного бюджета субъекта Российской Федерации,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согласно соответствующему приложению к Программе, в дополнение к объемам высокотехнологичной медицинской помощи, предоставляемым в рамках территориальной программы ОМС.</w:t>
      </w:r>
    </w:p>
    <w:p>
      <w:pPr>
        <w:pStyle w:val="Style4"/>
        <w:keepNext w:val="0"/>
        <w:keepLines w:val="0"/>
        <w:widowControl w:val="0"/>
        <w:numPr>
          <w:ilvl w:val="0"/>
          <w:numId w:val="147"/>
        </w:numPr>
        <w:shd w:val="clear" w:color="auto" w:fill="auto"/>
        <w:tabs>
          <w:tab w:pos="1018" w:val="left"/>
        </w:tabs>
        <w:bidi w:val="0"/>
        <w:spacing w:before="0" w:after="0" w:line="240" w:lineRule="auto"/>
        <w:ind w:left="0" w:right="0" w:firstLine="720"/>
        <w:jc w:val="both"/>
      </w:pPr>
      <w:r>
        <w:rPr>
          <w:color w:val="000000"/>
          <w:spacing w:val="0"/>
          <w:w w:val="100"/>
          <w:position w:val="0"/>
          <w:shd w:val="clear" w:color="auto" w:fill="auto"/>
          <w:lang w:val="ru-RU" w:eastAsia="ru-RU" w:bidi="ru-RU"/>
        </w:rPr>
        <w:t xml:space="preserve">Не включены бюджетные ассигнования федерального бюджета, направляемые в бюджет субъекта Российской Федерации в виде субвенции на софинансирование расходных обязательств субъектов Российской Федерации по предоставлению отдельным категориям граждан социальной услуги по бесплатному (с пятидесятипроцентной скидкой со стоимости) обеспечению лекарственными препаратами и медицинскими изделиями по рецептам врачей при амбулаторном лечении, а также специализированными продуктами лечебного питания для детей-инвалидов; иные МБТ на финансовое обеспечение расходов по обеспечению пациентов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w:t>
      </w:r>
      <w:r>
        <w:rPr>
          <w:color w:val="000000"/>
          <w:spacing w:val="0"/>
          <w:w w:val="100"/>
          <w:position w:val="0"/>
          <w:shd w:val="clear" w:color="auto" w:fill="auto"/>
          <w:lang w:val="ru-RU" w:eastAsia="ru-RU" w:bidi="ru-RU"/>
        </w:rPr>
        <w:t>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p>
      <w:pPr>
        <w:pStyle w:val="Style4"/>
        <w:keepNext w:val="0"/>
        <w:keepLines w:val="0"/>
        <w:widowControl w:val="0"/>
        <w:numPr>
          <w:ilvl w:val="0"/>
          <w:numId w:val="149"/>
        </w:numPr>
        <w:shd w:val="clear" w:color="auto" w:fill="auto"/>
        <w:tabs>
          <w:tab w:pos="1339" w:val="left"/>
        </w:tabs>
        <w:bidi w:val="0"/>
        <w:spacing w:before="0" w:after="0" w:line="240" w:lineRule="auto"/>
        <w:ind w:left="0" w:right="0" w:firstLine="720"/>
        <w:jc w:val="both"/>
        <w:sectPr>
          <w:headerReference w:type="default" r:id="rId39"/>
          <w:footnotePr>
            <w:pos w:val="pageBottom"/>
            <w:numFmt w:val="decimal"/>
            <w:numStart w:val="1"/>
            <w:numRestart w:val="continuous"/>
            <w15:footnoteColumns w:val="1"/>
          </w:footnotePr>
          <w:pgSz w:w="16840" w:h="11900" w:orient="landscape"/>
          <w:pgMar w:top="1005" w:right="383" w:bottom="661" w:left="627" w:header="0" w:footer="233" w:gutter="0"/>
          <w:pgNumType w:start="3"/>
          <w:cols w:space="720"/>
          <w:noEndnote/>
          <w:rtlGutter w:val="0"/>
          <w:docGrid w:linePitch="360"/>
        </w:sectPr>
      </w:pPr>
      <w:r>
        <w:rPr>
          <w:color w:val="000000"/>
          <w:spacing w:val="0"/>
          <w:w w:val="100"/>
          <w:position w:val="0"/>
          <w:shd w:val="clear" w:color="auto" w:fill="auto"/>
          <w:lang w:val="ru-RU" w:eastAsia="ru-RU" w:bidi="ru-RU"/>
        </w:rPr>
        <w:t>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предусмотренных в консолидированном бюджете субъекта Российской Федерации по кодам бюджетной классификации Российской Федерации 09 «Здравоохранение» и 10 «Социальная политика» (приказ Министерства финансов Российской Федерации от 24 мая 2022 года № 82н) не исполнительному органу субъекта Российской Федерации в сфере охраны здоровья, а иным органам исполнительной власти субъекта Российской Федерации, бюджетные ассигнования на указанные цели не включаются в стоимость территориальной программы и соответствующий подушевой норматив ее финансового обеспечения, а отражаются в пояснительной записке к территориальной программе и сопровождаются выпиской из закона о бюджете субъекта Российской Федерации с указанием размера бюджетных ассигнований, предусмотренных на вышеуказаные цели, и наименования органа исполнительной власти субъекта Российской Федерации, которому они предусмотрены.</w:t>
      </w:r>
    </w:p>
    <w:p>
      <w:pPr>
        <w:pStyle w:val="Style4"/>
        <w:keepNext w:val="0"/>
        <w:keepLines w:val="0"/>
        <w:widowControl w:val="0"/>
        <w:shd w:val="clear" w:color="auto" w:fill="auto"/>
        <w:bidi w:val="0"/>
        <w:spacing w:before="0" w:after="1280" w:line="240" w:lineRule="auto"/>
        <w:ind w:left="9420" w:right="140" w:firstLine="0"/>
        <w:jc w:val="right"/>
      </w:pPr>
      <w:r>
        <w:rPr>
          <w:color w:val="000000"/>
          <w:spacing w:val="0"/>
          <w:w w:val="100"/>
          <w:position w:val="0"/>
          <w:shd w:val="clear" w:color="auto" w:fill="auto"/>
          <w:lang w:val="ru-RU" w:eastAsia="ru-RU" w:bidi="ru-RU"/>
        </w:rPr>
        <w:t>Приложение № 9 к Территориальной программе государственных гарантий бесплатного оказания гражданам медицинской помощи в Омской области на 2026 год и на плановый период 2027 и 2028 годов</w:t>
      </w:r>
    </w:p>
    <w:p>
      <w:pPr>
        <w:pStyle w:val="Style4"/>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ru-RU" w:eastAsia="ru-RU" w:bidi="ru-RU"/>
        </w:rPr>
        <w:t>СТОИМОСТЬ</w:t>
        <w:br/>
        <w:t>территориальной программы обязательного медицинского страхования (далее - ОМС)</w:t>
        <w:br/>
        <w:t>по видам и условиям оказания медицинской помощи на 2026 год</w:t>
      </w:r>
    </w:p>
    <w:tbl>
      <w:tblPr>
        <w:tblOverlap w:val="never"/>
        <w:jc w:val="center"/>
        <w:tblLayout w:type="fixed"/>
      </w:tblPr>
      <w:tblGrid>
        <w:gridCol w:w="2698"/>
        <w:gridCol w:w="1133"/>
        <w:gridCol w:w="1704"/>
        <w:gridCol w:w="1699"/>
        <w:gridCol w:w="1699"/>
        <w:gridCol w:w="1277"/>
        <w:gridCol w:w="1421"/>
        <w:gridCol w:w="1416"/>
        <w:gridCol w:w="1560"/>
        <w:gridCol w:w="854"/>
      </w:tblGrid>
      <w:tr>
        <w:trPr>
          <w:trHeight w:val="816"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Виды и условия оказания медицинской помощи</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Номер строки</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Единица измерения</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Объем медицинской помощи в расчете на 1 жителя (норматив объема медицинской помощи в расчете на 1 застрахо</w:t>
              <w:softHyphen/>
              <w:t>ванное лицо)</w:t>
            </w:r>
          </w:p>
        </w:tc>
        <w:tc>
          <w:tcPr>
            <w:vMerge w:val="restart"/>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Стоимость единицы объема медицинской помощи (норматив финансовых затрат на единицу объема медицинской помощи) (руб.)</w:t>
            </w:r>
          </w:p>
        </w:tc>
        <w:tc>
          <w:tcPr>
            <w:gridSpan w:val="2"/>
            <w:vMerge w:val="restart"/>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Подушевые нормативы финансирования территориальной программы ОМС (руб.)</w:t>
            </w:r>
          </w:p>
        </w:tc>
        <w:tc>
          <w:tcPr>
            <w:gridSpan w:val="3"/>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Стоимость территориальной программы ОМС по источникам ее финансового обеспечения</w:t>
            </w:r>
          </w:p>
        </w:tc>
      </w:tr>
      <w:tr>
        <w:trPr>
          <w:trHeight w:val="355"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vMerge/>
            <w:tcBorders>
              <w:left w:val="single" w:sz="4"/>
            </w:tcBorders>
            <w:shd w:val="clear" w:color="auto" w:fill="auto"/>
            <w:vAlign w:val="center"/>
          </w:tcPr>
          <w:p>
            <w:pPr/>
          </w:p>
        </w:tc>
        <w:tc>
          <w:tcPr>
            <w:gridSpan w:val="2"/>
            <w:vMerge/>
            <w:tcBorders>
              <w:left w:val="single" w:sz="4"/>
            </w:tcBorders>
            <w:shd w:val="clear" w:color="auto" w:fill="auto"/>
            <w:vAlign w:val="center"/>
          </w:tcPr>
          <w:p>
            <w:pPr/>
          </w:p>
        </w:tc>
        <w:tc>
          <w:tcPr>
            <w:gridSpan w:val="2"/>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тыс. руб.</w:t>
            </w:r>
          </w:p>
        </w:tc>
        <w:tc>
          <w:tcPr>
            <w:vMerge w:val="restart"/>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в про- центах к итогу</w:t>
            </w:r>
          </w:p>
        </w:tc>
      </w:tr>
      <w:tr>
        <w:trPr>
          <w:trHeight w:val="1430"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vMerge/>
            <w:tcBorders>
              <w:left w:val="single" w:sz="4"/>
            </w:tcBorders>
            <w:shd w:val="clear" w:color="auto" w:fill="auto"/>
            <w:vAlign w:val="center"/>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за счет</w:t>
            </w:r>
          </w:p>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средств областного бюджета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за счет средств ОМС</w:t>
            </w:r>
            <w:r>
              <w:rPr>
                <w:color w:val="000000"/>
                <w:spacing w:val="0"/>
                <w:w w:val="100"/>
                <w:position w:val="0"/>
                <w:sz w:val="20"/>
                <w:szCs w:val="20"/>
                <w:shd w:val="clear" w:color="auto" w:fill="auto"/>
                <w:vertAlign w:val="superscript"/>
                <w:lang w:val="ru-RU" w:eastAsia="ru-RU" w:bidi="ru-RU"/>
              </w:rPr>
              <w:t>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за счет средств областного бюджета</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за счет средств ОМС</w:t>
            </w:r>
          </w:p>
        </w:tc>
        <w:tc>
          <w:tcPr>
            <w:vMerge/>
            <w:tcBorders>
              <w:left w:val="single" w:sz="4"/>
              <w:right w:val="single" w:sz="4"/>
            </w:tcBorders>
            <w:shd w:val="clear" w:color="auto" w:fill="auto"/>
            <w:vAlign w:val="top"/>
          </w:tcPr>
          <w:p>
            <w:pP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Медицинская помощь в рамках территориальной программы ОМС</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25 188,61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46 789 083,10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100,00</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1. Скорая, в том числе скорая специализированная, медицинская помощь</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вызовов</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0,261000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5 635,94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1 470,98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2 732 416,40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936"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 Первичная медико- санитарная помощь в амбулаторных условиях, за исключением медицинской</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bl>
    <w:p>
      <w:pPr>
        <w:spacing w:lineRule="exact" w:line="1"/>
        <w:rPr>
          <w:sz w:val="2"/>
          <w:szCs w:val="2"/>
        </w:rPr>
      </w:pPr>
      <w:r>
        <w:br w:type="page"/>
      </w:r>
    </w:p>
    <w:tbl>
      <w:tblPr>
        <w:tblOverlap w:val="never"/>
        <w:jc w:val="center"/>
        <w:tblLayout w:type="fixed"/>
      </w:tblPr>
      <w:tblGrid>
        <w:gridCol w:w="2698"/>
        <w:gridCol w:w="1133"/>
        <w:gridCol w:w="1704"/>
        <w:gridCol w:w="1699"/>
        <w:gridCol w:w="1699"/>
        <w:gridCol w:w="1277"/>
        <w:gridCol w:w="1421"/>
        <w:gridCol w:w="1416"/>
        <w:gridCol w:w="1560"/>
        <w:gridCol w:w="854"/>
      </w:tblGrid>
      <w:tr>
        <w:trPr>
          <w:trHeight w:val="24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реабилитации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2.1. Проведение профилактических медицинских осмотров</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3.1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0,260168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2 885,27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750,66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1 394 378,90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2.2. Проведение диспансеризации, всего,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3.2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0,439948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3 450,92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1 518,23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2 820 178,10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94"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для проведения углубленной диспансеризации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3.2.1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0,050758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2 596,31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131,78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244 793,10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15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2.3. Проведение диспансеризации для оценки репродуктивного здоровья женщин и мужчин,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3.3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0,145709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2 137,62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311,47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578 569,50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женщин</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3.3.1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0,074587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3 375,55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251,77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467 679,10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мужчин</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3.3.2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0,071122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839,36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59,70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110 890,40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2.4. Посещения с иными целями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3.4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2,618238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486,42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1 273,56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2 365 706,10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2.5. В неотложной форме</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3.5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0,540000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1 161,02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626,95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1 164 591,30</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2.6. В связи с заболеваниями (обращений),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3.6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обращений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1,335969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2 281,49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3 048,00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5 661 809,50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848"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консультация с применением телемедицинских технологий при дистанционном взаимодействии медицинских работников между собой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3.6.1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консультаций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0,080667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419,79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33,86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62 902,60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083"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3.6.2</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консультаций</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0,030555</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371,61</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11,35</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21 091,50</w:t>
            </w:r>
          </w:p>
        </w:tc>
        <w:tc>
          <w:tcPr>
            <w:tcBorders>
              <w:top w:val="single" w:sz="4"/>
              <w:left w:val="single" w:sz="4"/>
              <w:bottom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bl>
    <w:p>
      <w:pPr>
        <w:sectPr>
          <w:headerReference w:type="default" r:id="rId40"/>
          <w:footnotePr>
            <w:pos w:val="pageBottom"/>
            <w:numFmt w:val="decimal"/>
            <w:numStart w:val="1"/>
            <w:numRestart w:val="continuous"/>
            <w15:footnoteColumns w:val="1"/>
          </w:footnotePr>
          <w:pgSz w:w="16840" w:h="11900" w:orient="landscape"/>
          <w:pgMar w:top="1005" w:right="383" w:bottom="661" w:left="627" w:header="577" w:footer="233" w:gutter="0"/>
          <w:pgNumType w:start="208"/>
          <w:cols w:space="720"/>
          <w:noEndnote/>
          <w:rtlGutter w:val="0"/>
          <w:docGrid w:linePitch="360"/>
        </w:sectPr>
      </w:pPr>
    </w:p>
    <w:tbl>
      <w:tblPr>
        <w:tblOverlap w:val="never"/>
        <w:jc w:val="center"/>
        <w:tblLayout w:type="fixed"/>
      </w:tblPr>
      <w:tblGrid>
        <w:gridCol w:w="2698"/>
        <w:gridCol w:w="1133"/>
        <w:gridCol w:w="1704"/>
        <w:gridCol w:w="1699"/>
        <w:gridCol w:w="1699"/>
        <w:gridCol w:w="1277"/>
        <w:gridCol w:w="1421"/>
        <w:gridCol w:w="1416"/>
        <w:gridCol w:w="1560"/>
        <w:gridCol w:w="854"/>
      </w:tblGrid>
      <w:tr>
        <w:trPr>
          <w:trHeight w:val="24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20"/>
              <w:jc w:val="left"/>
              <w:rPr>
                <w:sz w:val="20"/>
                <w:szCs w:val="20"/>
              </w:rPr>
            </w:pPr>
            <w:r>
              <w:rPr>
                <w:color w:val="000000"/>
                <w:spacing w:val="0"/>
                <w:w w:val="100"/>
                <w:position w:val="0"/>
                <w:sz w:val="20"/>
                <w:szCs w:val="20"/>
                <w:shd w:val="clear" w:color="auto" w:fill="auto"/>
                <w:lang w:val="ru-RU" w:eastAsia="ru-RU" w:bidi="ru-RU"/>
              </w:rPr>
              <w:t>10</w:t>
            </w:r>
          </w:p>
        </w:tc>
      </w:tr>
      <w:tr>
        <w:trPr>
          <w:trHeight w:val="9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2.7. Проведение отдельных диагностических (лабораторных) исследований,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0,274512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2 545,59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698,79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1 298 036,50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компьютерная томография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3.7.1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0,057732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3 799,98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219,38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407 509,90</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магнитно-резонансная томография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3.7.2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0,022033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5 188,53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114,32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212 351,00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ультразвуковое исследование сердечно</w:t>
              <w:softHyphen/>
              <w:t>сосудистой системы</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3.7.3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0,122408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819,69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100,34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186 380,30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20"/>
                <w:szCs w:val="20"/>
              </w:rPr>
            </w:pPr>
            <w:r>
              <w:rPr>
                <w:color w:val="000000"/>
                <w:spacing w:val="0"/>
                <w:w w:val="100"/>
                <w:position w:val="0"/>
                <w:sz w:val="20"/>
                <w:szCs w:val="20"/>
                <w:shd w:val="clear" w:color="auto" w:fill="auto"/>
                <w:lang w:val="ru-RU" w:eastAsia="ru-RU" w:bidi="ru-RU"/>
              </w:rPr>
              <w:t>эндоскопическое диагностическое исследование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3.7.4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0,035370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1 503,02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53,16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98 751,40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157"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молекулярно-генетическое исследование с целью диагностики онкологических заболеваний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3.7.5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0,001492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И 815,99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17,63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32 742,10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853"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3.7.6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0,027103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2 914,00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78,98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146 705,30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157"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позитронная эмиссионная томография и (или)</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позитронная эмиссионная томография, совмещенная с компьютерной томографией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3.7.7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0,002081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39 132,91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81,44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151 287,80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088"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однофотонная эмиссионная компьютерная томография и (или) однофотонная</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эмиссионная компьютерная томография, совмещенная с компьютерной</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томографией, включая все виды сцинтиграфических исследований</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3.7.8</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0,003783</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5 369,86</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60"/>
              <w:jc w:val="left"/>
              <w:rPr>
                <w:sz w:val="20"/>
                <w:szCs w:val="20"/>
              </w:rPr>
            </w:pPr>
            <w:r>
              <w:rPr>
                <w:color w:val="000000"/>
                <w:spacing w:val="0"/>
                <w:w w:val="100"/>
                <w:position w:val="0"/>
                <w:sz w:val="20"/>
                <w:szCs w:val="20"/>
                <w:shd w:val="clear" w:color="auto" w:fill="auto"/>
                <w:lang w:val="ru-RU" w:eastAsia="ru-RU" w:bidi="ru-RU"/>
              </w:rPr>
              <w:t>20,31</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37 734,00</w:t>
            </w:r>
          </w:p>
        </w:tc>
        <w:tc>
          <w:tcPr>
            <w:tcBorders>
              <w:top w:val="single" w:sz="4"/>
              <w:left w:val="single" w:sz="4"/>
              <w:bottom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bl>
    <w:p>
      <w:pPr>
        <w:spacing w:lineRule="exact" w:line="1"/>
        <w:rPr>
          <w:sz w:val="2"/>
          <w:szCs w:val="2"/>
        </w:rPr>
      </w:pPr>
      <w:r>
        <w:br w:type="page"/>
      </w:r>
    </w:p>
    <w:tbl>
      <w:tblPr>
        <w:tblOverlap w:val="never"/>
        <w:jc w:val="center"/>
        <w:tblLayout w:type="fixed"/>
      </w:tblPr>
      <w:tblGrid>
        <w:gridCol w:w="2698"/>
        <w:gridCol w:w="1133"/>
        <w:gridCol w:w="1704"/>
        <w:gridCol w:w="1699"/>
        <w:gridCol w:w="1699"/>
        <w:gridCol w:w="1277"/>
        <w:gridCol w:w="1421"/>
        <w:gridCol w:w="1416"/>
        <w:gridCol w:w="1560"/>
        <w:gridCol w:w="854"/>
      </w:tblGrid>
      <w:tr>
        <w:trPr>
          <w:trHeight w:val="24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w:t>
            </w:r>
          </w:p>
        </w:tc>
      </w:tr>
      <w:tr>
        <w:trPr>
          <w:trHeight w:val="9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неинвазивное пренатальное тестирование (определение внеклеточной ДНК плода по крови матери)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3.7.9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0,000647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16 034,10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10,38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19 273,00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определение РНК вируса гепатита С (НераННз С уник) в крови методом ПЦР</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3.7.10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0,001241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1 218,04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1,51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2 807,60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39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лабораторная диагностика для пациентов с хроническим вирусным гепатитом С (оценка стадии фиброза, определение генотипа ВГС)</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3.7.11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0,000622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2 159,39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1,34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2 494,10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6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2.8. Ведение школ для больных с хроническими неинфекционными заболеваниями, школ для беременных и по вопросам грудного вскармливания,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3.8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0,210277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1 061,68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223,25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414 692,20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ведение школ для больных сахарным диабетом</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3.8.1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0,005620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1 563,35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8,79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16 319,80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2.9. Диспансерное наблюдение, в том числе по поводу</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3.9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0,275509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3 440,42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947,87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1 760 707,20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онкологических заболеваний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3.9.1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0,045050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4 786,53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215,63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400 551,20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сахарного диабета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3.9.2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0,059800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2 080,83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124,43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231 140,70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болезней системы кровообращения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3.9.3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0,138983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4 067,17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565,27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1 050 013,10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93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2.10. Дистанционное наблюдение за состоянием здоровья пациентов,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3.10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0,018057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1 224,78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22,12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41 081,40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пациентов с сахарным диабетом</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3.10.1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0,000970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4 035,13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3,92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7 271,30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6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пациентов с артериальной гипертензией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3.10.2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0,017087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1 065,22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18,20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33 810,10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336"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2.11. Посещений с</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20"/>
                <w:szCs w:val="20"/>
              </w:rPr>
            </w:pPr>
            <w:r>
              <w:rPr>
                <w:color w:val="000000"/>
                <w:spacing w:val="0"/>
                <w:w w:val="100"/>
                <w:position w:val="0"/>
                <w:sz w:val="20"/>
                <w:szCs w:val="20"/>
                <w:shd w:val="clear" w:color="auto" w:fill="auto"/>
                <w:lang w:val="ru-RU" w:eastAsia="ru-RU" w:bidi="ru-RU"/>
              </w:rPr>
              <w:t>3.11</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0,032831</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3 564,62</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117,03</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217 388,40</w:t>
            </w:r>
          </w:p>
        </w:tc>
        <w:tc>
          <w:tcPr>
            <w:tcBorders>
              <w:top w:val="single" w:sz="4"/>
              <w:left w:val="single" w:sz="4"/>
              <w:bottom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bl>
    <w:p>
      <w:pPr>
        <w:spacing w:lineRule="exact" w:line="1"/>
        <w:rPr>
          <w:sz w:val="2"/>
          <w:szCs w:val="2"/>
        </w:rPr>
      </w:pPr>
      <w:r>
        <w:br w:type="page"/>
      </w:r>
    </w:p>
    <w:tbl>
      <w:tblPr>
        <w:tblOverlap w:val="never"/>
        <w:jc w:val="center"/>
        <w:tblLayout w:type="fixed"/>
      </w:tblPr>
      <w:tblGrid>
        <w:gridCol w:w="2698"/>
        <w:gridCol w:w="1133"/>
        <w:gridCol w:w="1704"/>
        <w:gridCol w:w="1699"/>
        <w:gridCol w:w="1699"/>
        <w:gridCol w:w="1277"/>
        <w:gridCol w:w="1421"/>
        <w:gridCol w:w="1416"/>
        <w:gridCol w:w="1560"/>
        <w:gridCol w:w="854"/>
      </w:tblGrid>
      <w:tr>
        <w:trPr>
          <w:trHeight w:val="24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профилактическими целями центров здоровья, включая диспансерное наблюдение</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853"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3. В условиях дневных стационаров(первичная медико-санитарная помощь, специализированная медицинская помощь), за исключением медицинской реабилитации,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0,069345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36 046,09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2 499,62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4 643 168,90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3.1. Для медицинской помощи по профилю «онкология»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4.1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140"/>
              <w:jc w:val="left"/>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0,014388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88 556,69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1 274,13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2 366 766,10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92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3.2. Для медицинской помощи при экстракорпоральном оплодотворении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4.2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0,000741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130 210,88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96,46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179 170,20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3.3. Для медицинской помощи больным с вирусным гепатитом С</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4.3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0,001288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69 401,62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89,41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166 078,10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848"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 Специализированная, включая</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высокотехнологичную, медицинская помощь в условиях круглосуточного стационара, за исключением медицинской реабилитации,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0,176524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61 603,42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10 874,48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20 199 884,60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4.1. Медицинская помощь по профилю «онкология»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0,010265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ИЗ 837,32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1 168,56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2 170 650,00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514"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4.2. Стентирование коронарных артерий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5.2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0,002327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185 544,97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431,81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802 110,90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9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4.3. Имплантация частотно</w:t>
              <w:softHyphen/>
              <w:t>адаптированного кардиостимулятора взрослым</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5.3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0,000430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286 630,37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123,29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229 017,70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6"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4.4. Эндоваскулярная деструкция дополнительных проводящих путей и</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5.4</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0,000189</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388 292,69</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73,37</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136 290,70</w:t>
            </w:r>
          </w:p>
        </w:tc>
        <w:tc>
          <w:tcPr>
            <w:tcBorders>
              <w:top w:val="single" w:sz="4"/>
              <w:left w:val="single" w:sz="4"/>
              <w:bottom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bl>
    <w:p>
      <w:pPr>
        <w:spacing w:lineRule="exact" w:line="1"/>
        <w:rPr>
          <w:sz w:val="2"/>
          <w:szCs w:val="2"/>
        </w:rPr>
      </w:pPr>
      <w:r>
        <w:br w:type="page"/>
      </w:r>
    </w:p>
    <w:tbl>
      <w:tblPr>
        <w:tblOverlap w:val="never"/>
        <w:jc w:val="center"/>
        <w:tblLayout w:type="fixed"/>
      </w:tblPr>
      <w:tblGrid>
        <w:gridCol w:w="2698"/>
        <w:gridCol w:w="1133"/>
        <w:gridCol w:w="1704"/>
        <w:gridCol w:w="1699"/>
        <w:gridCol w:w="1699"/>
        <w:gridCol w:w="1277"/>
        <w:gridCol w:w="1421"/>
        <w:gridCol w:w="1416"/>
        <w:gridCol w:w="1560"/>
        <w:gridCol w:w="854"/>
      </w:tblGrid>
      <w:tr>
        <w:trPr>
          <w:trHeight w:val="24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w:t>
            </w:r>
          </w:p>
        </w:tc>
      </w:tr>
      <w:tr>
        <w:trPr>
          <w:trHeight w:val="331"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аритмогенных зон сердца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16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4.5. Оперативные вмешательства на брахиоцефальных артериях (стентирование или эндартерэктомия)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0,000472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233 331,58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110,16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204 631,80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4.6. Трансплантация почки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0,000025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1 436 420,88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35,57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66 075,40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5. Медицинская реабилитация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570,83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1 060 375,10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6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5.1. В амбулаторных условиях</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0,003371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30 022,63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101,20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188 001,70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16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5.2. В условиях дневных стационаров(первичная медико-санитарная помощь, специализированная медицинская помощь)</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0,002813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33 020,94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92,88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172 534,40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39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5.3. Специализированная, в том числе</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высокотехнологичная, медицинская помощь в условиях круглосуточного стационара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0,005869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64 193,63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376,75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699 839,00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6. Паллиативная медицинская помощь</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92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6.1. Первичная медицинская помощь, в том числе доврачебная и врачебная</w:t>
            </w:r>
            <w:r>
              <w:rPr>
                <w:color w:val="000000"/>
                <w:spacing w:val="0"/>
                <w:w w:val="100"/>
                <w:position w:val="0"/>
                <w:sz w:val="20"/>
                <w:szCs w:val="20"/>
                <w:shd w:val="clear" w:color="auto" w:fill="auto"/>
                <w:vertAlign w:val="superscript"/>
                <w:lang w:val="ru-RU" w:eastAsia="ru-RU" w:bidi="ru-RU"/>
              </w:rPr>
              <w:t>3</w:t>
            </w:r>
            <w:r>
              <w:rPr>
                <w:color w:val="000000"/>
                <w:spacing w:val="0"/>
                <w:w w:val="100"/>
                <w:position w:val="0"/>
                <w:sz w:val="20"/>
                <w:szCs w:val="20"/>
                <w:shd w:val="clear" w:color="auto" w:fill="auto"/>
                <w:lang w:val="ru-RU" w:eastAsia="ru-RU" w:bidi="ru-RU"/>
              </w:rPr>
              <w:t>, всего,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40"/>
              <w:jc w:val="left"/>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16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6.1.1. Посещение по паллиативной медицинской помощи без учета посещений на дому патронажными бригадами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10.1.1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40"/>
              <w:jc w:val="left"/>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6.1.2. Посещения на дому выездными патронажными бригадами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10.1.2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6"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6.2. Оказываемая в стационарных условиях (включая койки</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10.2</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койко-дней</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w:t>
            </w:r>
          </w:p>
        </w:tc>
        <w:tc>
          <w:tcPr>
            <w:tcBorders>
              <w:top w:val="single" w:sz="4"/>
              <w:left w:val="single" w:sz="4"/>
              <w:bottom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bl>
    <w:p>
      <w:pPr>
        <w:spacing w:lineRule="exact" w:line="1"/>
        <w:rPr>
          <w:sz w:val="2"/>
          <w:szCs w:val="2"/>
        </w:rPr>
      </w:pPr>
      <w:r>
        <w:br w:type="page"/>
      </w:r>
    </w:p>
    <w:tbl>
      <w:tblPr>
        <w:tblOverlap w:val="never"/>
        <w:jc w:val="center"/>
        <w:tblLayout w:type="fixed"/>
      </w:tblPr>
      <w:tblGrid>
        <w:gridCol w:w="2698"/>
        <w:gridCol w:w="1133"/>
        <w:gridCol w:w="1704"/>
        <w:gridCol w:w="1699"/>
        <w:gridCol w:w="1699"/>
        <w:gridCol w:w="1277"/>
        <w:gridCol w:w="1421"/>
        <w:gridCol w:w="1416"/>
        <w:gridCol w:w="1560"/>
        <w:gridCol w:w="854"/>
      </w:tblGrid>
      <w:tr>
        <w:trPr>
          <w:trHeight w:val="24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паллиативной медицинской помощи и койки сестринского ухода)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6.3. Оказываемая в условиях дневного стационара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jc w:val="left"/>
              <w:rPr>
                <w:sz w:val="20"/>
                <w:szCs w:val="20"/>
              </w:rPr>
            </w:pPr>
            <w:r>
              <w:rPr>
                <w:color w:val="000000"/>
                <w:spacing w:val="0"/>
                <w:w w:val="100"/>
                <w:position w:val="0"/>
                <w:sz w:val="20"/>
                <w:szCs w:val="20"/>
                <w:shd w:val="clear" w:color="auto" w:fill="auto"/>
                <w:lang w:val="ru-RU" w:eastAsia="ru-RU" w:bidi="ru-RU"/>
              </w:rPr>
              <w:t>10.3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7. Расходы на ведение дела страховых медицинских организаций (далее - СМО)</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234,77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436 099,00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8. Иные расходы</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16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из строки 1:</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1. Медицинская помощь, предоставляемая в рамках базовой программы ОМС застрахованным лицам</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25 188,61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46 789 083,10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1) скорая, в том числе скорая специализированная, медицинская помощь</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вызовов</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0,261000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5 635,94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1 470,98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2 732 416,40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157"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 первичная медико- санитарная помощь в амбулаторных условиях, за исключением медицинской реабилитации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2.1) проведение профилактических медицинских осмотров</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jc w:val="left"/>
              <w:rPr>
                <w:sz w:val="20"/>
                <w:szCs w:val="20"/>
              </w:rPr>
            </w:pPr>
            <w:r>
              <w:rPr>
                <w:color w:val="000000"/>
                <w:spacing w:val="0"/>
                <w:w w:val="100"/>
                <w:position w:val="0"/>
                <w:sz w:val="20"/>
                <w:szCs w:val="20"/>
                <w:shd w:val="clear" w:color="auto" w:fill="auto"/>
                <w:lang w:val="ru-RU" w:eastAsia="ru-RU" w:bidi="ru-RU"/>
              </w:rPr>
              <w:t>15.1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0,260168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2 885,27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750,66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1 394 378,90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2.2) проведение диспансеризации, всего,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jc w:val="left"/>
              <w:rPr>
                <w:sz w:val="20"/>
                <w:szCs w:val="20"/>
              </w:rPr>
            </w:pPr>
            <w:r>
              <w:rPr>
                <w:color w:val="000000"/>
                <w:spacing w:val="0"/>
                <w:w w:val="100"/>
                <w:position w:val="0"/>
                <w:sz w:val="20"/>
                <w:szCs w:val="20"/>
                <w:shd w:val="clear" w:color="auto" w:fill="auto"/>
                <w:lang w:val="ru-RU" w:eastAsia="ru-RU" w:bidi="ru-RU"/>
              </w:rPr>
              <w:t>15.2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0,439948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3 450,92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1 518,23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2 820 178,10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для проведения углубленной диспансеризации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15.2.1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0,050758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2 596,31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131,78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244 793,10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15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2.3) проведение диспансеризации для оценки репродуктивного здоровья женщин и мужчин,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jc w:val="left"/>
              <w:rPr>
                <w:sz w:val="20"/>
                <w:szCs w:val="20"/>
              </w:rPr>
            </w:pPr>
            <w:r>
              <w:rPr>
                <w:color w:val="000000"/>
                <w:spacing w:val="0"/>
                <w:w w:val="100"/>
                <w:position w:val="0"/>
                <w:sz w:val="20"/>
                <w:szCs w:val="20"/>
                <w:shd w:val="clear" w:color="auto" w:fill="auto"/>
                <w:lang w:val="ru-RU" w:eastAsia="ru-RU" w:bidi="ru-RU"/>
              </w:rPr>
              <w:t>15.3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0,145709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2 137,62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311,47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578 569,50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5"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женщин</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15.3.1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0,074587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3 375,55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251,77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467 679,10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66"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мужчин</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20"/>
              <w:jc w:val="left"/>
              <w:rPr>
                <w:sz w:val="20"/>
                <w:szCs w:val="20"/>
              </w:rPr>
            </w:pPr>
            <w:r>
              <w:rPr>
                <w:color w:val="000000"/>
                <w:spacing w:val="0"/>
                <w:w w:val="100"/>
                <w:position w:val="0"/>
                <w:sz w:val="20"/>
                <w:szCs w:val="20"/>
                <w:shd w:val="clear" w:color="auto" w:fill="auto"/>
                <w:lang w:val="ru-RU" w:eastAsia="ru-RU" w:bidi="ru-RU"/>
              </w:rPr>
              <w:t>15.3.2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0,071122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839,36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59,70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110 890,40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50"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2.4) посещения с иными</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jc w:val="left"/>
              <w:rPr>
                <w:sz w:val="20"/>
                <w:szCs w:val="20"/>
              </w:rPr>
            </w:pPr>
            <w:r>
              <w:rPr>
                <w:color w:val="000000"/>
                <w:spacing w:val="0"/>
                <w:w w:val="100"/>
                <w:position w:val="0"/>
                <w:sz w:val="20"/>
                <w:szCs w:val="20"/>
                <w:shd w:val="clear" w:color="auto" w:fill="auto"/>
                <w:lang w:val="ru-RU" w:eastAsia="ru-RU" w:bidi="ru-RU"/>
              </w:rPr>
              <w:t>15.4</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2,618238</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486,42</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1 273,56</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2 365 706,10</w:t>
            </w:r>
          </w:p>
        </w:tc>
        <w:tc>
          <w:tcPr>
            <w:tcBorders>
              <w:top w:val="single" w:sz="4"/>
              <w:left w:val="single" w:sz="4"/>
              <w:bottom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bl>
    <w:p>
      <w:pPr>
        <w:spacing w:lineRule="exact" w:line="1"/>
        <w:rPr>
          <w:sz w:val="2"/>
          <w:szCs w:val="2"/>
        </w:rPr>
      </w:pPr>
      <w:r>
        <w:br w:type="page"/>
      </w:r>
    </w:p>
    <w:tbl>
      <w:tblPr>
        <w:tblOverlap w:val="never"/>
        <w:jc w:val="center"/>
        <w:tblLayout w:type="fixed"/>
      </w:tblPr>
      <w:tblGrid>
        <w:gridCol w:w="2698"/>
        <w:gridCol w:w="1133"/>
        <w:gridCol w:w="1704"/>
        <w:gridCol w:w="1699"/>
        <w:gridCol w:w="1699"/>
        <w:gridCol w:w="1277"/>
        <w:gridCol w:w="1421"/>
        <w:gridCol w:w="1416"/>
        <w:gridCol w:w="1560"/>
        <w:gridCol w:w="854"/>
      </w:tblGrid>
      <w:tr>
        <w:trPr>
          <w:trHeight w:val="24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20"/>
                <w:szCs w:val="20"/>
              </w:rPr>
            </w:pPr>
            <w:r>
              <w:rPr>
                <w:color w:val="000000"/>
                <w:spacing w:val="0"/>
                <w:w w:val="100"/>
                <w:position w:val="0"/>
                <w:sz w:val="20"/>
                <w:szCs w:val="20"/>
                <w:shd w:val="clear" w:color="auto" w:fill="auto"/>
                <w:lang w:val="ru-RU" w:eastAsia="ru-RU" w:bidi="ru-RU"/>
              </w:rPr>
              <w:t>целями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2.5) в неотложной форме</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jc w:val="left"/>
              <w:rPr>
                <w:sz w:val="20"/>
                <w:szCs w:val="20"/>
              </w:rPr>
            </w:pPr>
            <w:r>
              <w:rPr>
                <w:color w:val="000000"/>
                <w:spacing w:val="0"/>
                <w:w w:val="100"/>
                <w:position w:val="0"/>
                <w:sz w:val="20"/>
                <w:szCs w:val="20"/>
                <w:shd w:val="clear" w:color="auto" w:fill="auto"/>
                <w:lang w:val="ru-RU" w:eastAsia="ru-RU" w:bidi="ru-RU"/>
              </w:rPr>
              <w:t>15.5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0,540000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1 161,02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626,95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1 164 591,30</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2.6) в связи с заболеваниями (обращений),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jc w:val="left"/>
              <w:rPr>
                <w:sz w:val="20"/>
                <w:szCs w:val="20"/>
              </w:rPr>
            </w:pPr>
            <w:r>
              <w:rPr>
                <w:color w:val="000000"/>
                <w:spacing w:val="0"/>
                <w:w w:val="100"/>
                <w:position w:val="0"/>
                <w:sz w:val="20"/>
                <w:szCs w:val="20"/>
                <w:shd w:val="clear" w:color="auto" w:fill="auto"/>
                <w:lang w:val="ru-RU" w:eastAsia="ru-RU" w:bidi="ru-RU"/>
              </w:rPr>
              <w:t>15.6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обращений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1,335969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2 281,49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3 048,00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5 661 809,50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848"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консультация с применением телемедицинских технологий при дистанционном взаимодействии медицинских работников между собой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20"/>
              <w:jc w:val="left"/>
              <w:rPr>
                <w:sz w:val="20"/>
                <w:szCs w:val="20"/>
              </w:rPr>
            </w:pPr>
            <w:r>
              <w:rPr>
                <w:color w:val="000000"/>
                <w:spacing w:val="0"/>
                <w:w w:val="100"/>
                <w:position w:val="0"/>
                <w:sz w:val="20"/>
                <w:szCs w:val="20"/>
                <w:shd w:val="clear" w:color="auto" w:fill="auto"/>
                <w:lang w:val="ru-RU" w:eastAsia="ru-RU" w:bidi="ru-RU"/>
              </w:rPr>
              <w:t>15.6.1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консультаций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0,080667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419,79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33,86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62 902,60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078"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20"/>
              <w:jc w:val="left"/>
              <w:rPr>
                <w:sz w:val="20"/>
                <w:szCs w:val="20"/>
              </w:rPr>
            </w:pPr>
            <w:r>
              <w:rPr>
                <w:color w:val="000000"/>
                <w:spacing w:val="0"/>
                <w:w w:val="100"/>
                <w:position w:val="0"/>
                <w:sz w:val="20"/>
                <w:szCs w:val="20"/>
                <w:shd w:val="clear" w:color="auto" w:fill="auto"/>
                <w:lang w:val="ru-RU" w:eastAsia="ru-RU" w:bidi="ru-RU"/>
              </w:rPr>
              <w:t>15.6.2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консультаций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0,030555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371,61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11,35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21 091,50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9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2.7) проведение отдельных диагностических (лабораторных) исследований,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jc w:val="left"/>
              <w:rPr>
                <w:sz w:val="20"/>
                <w:szCs w:val="20"/>
              </w:rPr>
            </w:pPr>
            <w:r>
              <w:rPr>
                <w:color w:val="000000"/>
                <w:spacing w:val="0"/>
                <w:w w:val="100"/>
                <w:position w:val="0"/>
                <w:sz w:val="20"/>
                <w:szCs w:val="20"/>
                <w:shd w:val="clear" w:color="auto" w:fill="auto"/>
                <w:lang w:val="ru-RU" w:eastAsia="ru-RU" w:bidi="ru-RU"/>
              </w:rPr>
              <w:t>15.7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0,274512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2 545,59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698,79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1 298 036,50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компьютерная томография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20"/>
              <w:jc w:val="left"/>
              <w:rPr>
                <w:sz w:val="20"/>
                <w:szCs w:val="20"/>
              </w:rPr>
            </w:pPr>
            <w:r>
              <w:rPr>
                <w:color w:val="000000"/>
                <w:spacing w:val="0"/>
                <w:w w:val="100"/>
                <w:position w:val="0"/>
                <w:sz w:val="20"/>
                <w:szCs w:val="20"/>
                <w:shd w:val="clear" w:color="auto" w:fill="auto"/>
                <w:lang w:val="ru-RU" w:eastAsia="ru-RU" w:bidi="ru-RU"/>
              </w:rPr>
              <w:t>15.7.1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0,057732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3 799,98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219,38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407 509,90</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магнитно-резонансная томография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20"/>
              <w:jc w:val="left"/>
              <w:rPr>
                <w:sz w:val="20"/>
                <w:szCs w:val="20"/>
              </w:rPr>
            </w:pPr>
            <w:r>
              <w:rPr>
                <w:color w:val="000000"/>
                <w:spacing w:val="0"/>
                <w:w w:val="100"/>
                <w:position w:val="0"/>
                <w:sz w:val="20"/>
                <w:szCs w:val="20"/>
                <w:shd w:val="clear" w:color="auto" w:fill="auto"/>
                <w:lang w:val="ru-RU" w:eastAsia="ru-RU" w:bidi="ru-RU"/>
              </w:rPr>
              <w:t>15.7.2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0,022033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5 188,53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114,32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212 351,00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ультразвуковое исследование сердечно</w:t>
              <w:softHyphen/>
              <w:t>сосудистой системы</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20"/>
              <w:jc w:val="left"/>
              <w:rPr>
                <w:sz w:val="20"/>
                <w:szCs w:val="20"/>
              </w:rPr>
            </w:pPr>
            <w:r>
              <w:rPr>
                <w:color w:val="000000"/>
                <w:spacing w:val="0"/>
                <w:w w:val="100"/>
                <w:position w:val="0"/>
                <w:sz w:val="20"/>
                <w:szCs w:val="20"/>
                <w:shd w:val="clear" w:color="auto" w:fill="auto"/>
                <w:lang w:val="ru-RU" w:eastAsia="ru-RU" w:bidi="ru-RU"/>
              </w:rPr>
              <w:t>15.7.3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0,122408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819,69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100,34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186 380,30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69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20"/>
                <w:szCs w:val="20"/>
              </w:rPr>
            </w:pPr>
            <w:r>
              <w:rPr>
                <w:color w:val="000000"/>
                <w:spacing w:val="0"/>
                <w:w w:val="100"/>
                <w:position w:val="0"/>
                <w:sz w:val="20"/>
                <w:szCs w:val="20"/>
                <w:shd w:val="clear" w:color="auto" w:fill="auto"/>
                <w:lang w:val="ru-RU" w:eastAsia="ru-RU" w:bidi="ru-RU"/>
              </w:rPr>
              <w:t>эндоскопическое диагностическое исследование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20"/>
              <w:jc w:val="left"/>
              <w:rPr>
                <w:sz w:val="20"/>
                <w:szCs w:val="20"/>
              </w:rPr>
            </w:pPr>
            <w:r>
              <w:rPr>
                <w:color w:val="000000"/>
                <w:spacing w:val="0"/>
                <w:w w:val="100"/>
                <w:position w:val="0"/>
                <w:sz w:val="20"/>
                <w:szCs w:val="20"/>
                <w:shd w:val="clear" w:color="auto" w:fill="auto"/>
                <w:lang w:val="ru-RU" w:eastAsia="ru-RU" w:bidi="ru-RU"/>
              </w:rPr>
              <w:t>15.7.4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0,035370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1 503,02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53,16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98 751,40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16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молекулярно-генетическое исследование с целью диагностики онкологических заболеваний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20"/>
              <w:jc w:val="left"/>
              <w:rPr>
                <w:sz w:val="20"/>
                <w:szCs w:val="20"/>
              </w:rPr>
            </w:pPr>
            <w:r>
              <w:rPr>
                <w:color w:val="000000"/>
                <w:spacing w:val="0"/>
                <w:w w:val="100"/>
                <w:position w:val="0"/>
                <w:sz w:val="20"/>
                <w:szCs w:val="20"/>
                <w:shd w:val="clear" w:color="auto" w:fill="auto"/>
                <w:lang w:val="ru-RU" w:eastAsia="ru-RU" w:bidi="ru-RU"/>
              </w:rPr>
              <w:t>15.7.5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0,001492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И 815,99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17,63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32 742,10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50"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патолого-анатомическое</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20"/>
              <w:jc w:val="left"/>
              <w:rPr>
                <w:sz w:val="20"/>
                <w:szCs w:val="20"/>
              </w:rPr>
            </w:pPr>
            <w:r>
              <w:rPr>
                <w:color w:val="000000"/>
                <w:spacing w:val="0"/>
                <w:w w:val="100"/>
                <w:position w:val="0"/>
                <w:sz w:val="20"/>
                <w:szCs w:val="20"/>
                <w:shd w:val="clear" w:color="auto" w:fill="auto"/>
                <w:lang w:val="ru-RU" w:eastAsia="ru-RU" w:bidi="ru-RU"/>
              </w:rPr>
              <w:t>15.7.6</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0,027103</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2 914,00</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78,98</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146 705,30</w:t>
            </w:r>
          </w:p>
        </w:tc>
        <w:tc>
          <w:tcPr>
            <w:tcBorders>
              <w:top w:val="single" w:sz="4"/>
              <w:left w:val="single" w:sz="4"/>
              <w:bottom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bl>
    <w:p>
      <w:pPr>
        <w:spacing w:lineRule="exact" w:line="1"/>
        <w:rPr>
          <w:sz w:val="2"/>
          <w:szCs w:val="2"/>
        </w:rPr>
      </w:pPr>
      <w:r>
        <w:br w:type="page"/>
      </w:r>
    </w:p>
    <w:tbl>
      <w:tblPr>
        <w:tblOverlap w:val="never"/>
        <w:jc w:val="center"/>
        <w:tblLayout w:type="fixed"/>
      </w:tblPr>
      <w:tblGrid>
        <w:gridCol w:w="2698"/>
        <w:gridCol w:w="1133"/>
        <w:gridCol w:w="1704"/>
        <w:gridCol w:w="1699"/>
        <w:gridCol w:w="1699"/>
        <w:gridCol w:w="1277"/>
        <w:gridCol w:w="1421"/>
        <w:gridCol w:w="1416"/>
        <w:gridCol w:w="1560"/>
        <w:gridCol w:w="854"/>
      </w:tblGrid>
      <w:tr>
        <w:trPr>
          <w:trHeight w:val="24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w:t>
            </w:r>
          </w:p>
        </w:tc>
      </w:tr>
      <w:tr>
        <w:trPr>
          <w:trHeight w:val="162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16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позитронная эмиссионная томография и (или)</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позитронная эмиссионная томография, совмещенная с компьютерной томографией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20"/>
              <w:jc w:val="left"/>
              <w:rPr>
                <w:sz w:val="20"/>
                <w:szCs w:val="20"/>
              </w:rPr>
            </w:pPr>
            <w:r>
              <w:rPr>
                <w:color w:val="000000"/>
                <w:spacing w:val="0"/>
                <w:w w:val="100"/>
                <w:position w:val="0"/>
                <w:sz w:val="20"/>
                <w:szCs w:val="20"/>
                <w:shd w:val="clear" w:color="auto" w:fill="auto"/>
                <w:lang w:val="ru-RU" w:eastAsia="ru-RU" w:bidi="ru-RU"/>
              </w:rPr>
              <w:t>15.7.7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0,002081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39 132,91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81,44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151 287,80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078"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однофотонная эмиссионная компьютерная томография и (или) однофотонная</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эмиссионная компьютерная томография, совмещенная с компьютерной</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томографией, включая все виды сцинтиграфических 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20"/>
              <w:jc w:val="left"/>
              <w:rPr>
                <w:sz w:val="20"/>
                <w:szCs w:val="20"/>
              </w:rPr>
            </w:pPr>
            <w:r>
              <w:rPr>
                <w:color w:val="000000"/>
                <w:spacing w:val="0"/>
                <w:w w:val="100"/>
                <w:position w:val="0"/>
                <w:sz w:val="20"/>
                <w:szCs w:val="20"/>
                <w:shd w:val="clear" w:color="auto" w:fill="auto"/>
                <w:lang w:val="ru-RU" w:eastAsia="ru-RU" w:bidi="ru-RU"/>
              </w:rPr>
              <w:t>15.7.8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0,003783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5 369,86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60"/>
              <w:jc w:val="left"/>
              <w:rPr>
                <w:sz w:val="20"/>
                <w:szCs w:val="20"/>
              </w:rPr>
            </w:pPr>
            <w:r>
              <w:rPr>
                <w:color w:val="000000"/>
                <w:spacing w:val="0"/>
                <w:w w:val="100"/>
                <w:position w:val="0"/>
                <w:sz w:val="20"/>
                <w:szCs w:val="20"/>
                <w:shd w:val="clear" w:color="auto" w:fill="auto"/>
                <w:lang w:val="ru-RU" w:eastAsia="ru-RU" w:bidi="ru-RU"/>
              </w:rPr>
              <w:t>20,31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37 734,00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9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неинвазивное пренатальное тестирование (определение внеклеточной ДНК плода по крови матери)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20"/>
              <w:jc w:val="left"/>
              <w:rPr>
                <w:sz w:val="20"/>
                <w:szCs w:val="20"/>
              </w:rPr>
            </w:pPr>
            <w:r>
              <w:rPr>
                <w:color w:val="000000"/>
                <w:spacing w:val="0"/>
                <w:w w:val="100"/>
                <w:position w:val="0"/>
                <w:sz w:val="20"/>
                <w:szCs w:val="20"/>
                <w:shd w:val="clear" w:color="auto" w:fill="auto"/>
                <w:lang w:val="ru-RU" w:eastAsia="ru-RU" w:bidi="ru-RU"/>
              </w:rPr>
              <w:t>15.7.9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0,000647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16 034,10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10,38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19 273,00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69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определение РНК вируса гепатита С (НераООз С упиз) в крови методом ПЦР</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shd w:val="clear" w:color="auto" w:fill="auto"/>
                <w:lang w:val="ru-RU" w:eastAsia="ru-RU" w:bidi="ru-RU"/>
              </w:rPr>
              <w:t>15.7.10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0,001241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1 218,04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1,51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2 807,60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39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лабораторная диагностика для пациентов с хроническим вирусным гепатитом С (оценка стадии фиброза, определение генотипа ВГС)</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shd w:val="clear" w:color="auto" w:fill="auto"/>
                <w:lang w:val="ru-RU" w:eastAsia="ru-RU" w:bidi="ru-RU"/>
              </w:rPr>
              <w:t>15.7.11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0,000622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2 159,39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1,34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2 494,10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632"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2.8) ведение школ для больных с хроническими неинфекционными заболеваниями, школ для беременных и по вопросам грудного вскармливания, в том числе</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15.8</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0,210277</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1 061,68</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223,25</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414 692,20</w:t>
            </w:r>
          </w:p>
        </w:tc>
        <w:tc>
          <w:tcPr>
            <w:tcBorders>
              <w:top w:val="single" w:sz="4"/>
              <w:left w:val="single" w:sz="4"/>
              <w:bottom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bl>
    <w:p>
      <w:pPr>
        <w:spacing w:lineRule="exact" w:line="1"/>
        <w:rPr>
          <w:sz w:val="2"/>
          <w:szCs w:val="2"/>
        </w:rPr>
      </w:pPr>
      <w:r>
        <w:br w:type="page"/>
      </w:r>
    </w:p>
    <w:tbl>
      <w:tblPr>
        <w:tblOverlap w:val="never"/>
        <w:jc w:val="center"/>
        <w:tblLayout w:type="fixed"/>
      </w:tblPr>
      <w:tblGrid>
        <w:gridCol w:w="2698"/>
        <w:gridCol w:w="1133"/>
        <w:gridCol w:w="1704"/>
        <w:gridCol w:w="1699"/>
        <w:gridCol w:w="1699"/>
        <w:gridCol w:w="1277"/>
        <w:gridCol w:w="1421"/>
        <w:gridCol w:w="1416"/>
        <w:gridCol w:w="1560"/>
        <w:gridCol w:w="854"/>
      </w:tblGrid>
      <w:tr>
        <w:trPr>
          <w:trHeight w:val="24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w:t>
            </w:r>
          </w:p>
        </w:tc>
      </w:tr>
      <w:tr>
        <w:trPr>
          <w:trHeight w:val="47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ведение школ для больных сахарным диабетом</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20"/>
              <w:jc w:val="left"/>
              <w:rPr>
                <w:sz w:val="20"/>
                <w:szCs w:val="20"/>
              </w:rPr>
            </w:pPr>
            <w:r>
              <w:rPr>
                <w:color w:val="000000"/>
                <w:spacing w:val="0"/>
                <w:w w:val="100"/>
                <w:position w:val="0"/>
                <w:sz w:val="20"/>
                <w:szCs w:val="20"/>
                <w:shd w:val="clear" w:color="auto" w:fill="auto"/>
                <w:lang w:val="ru-RU" w:eastAsia="ru-RU" w:bidi="ru-RU"/>
              </w:rPr>
              <w:t>15.8.1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0,005620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1 563,35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8,79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16 319,80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69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2.9) диспансерное наблюдение, в том числе по поводу</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jc w:val="left"/>
              <w:rPr>
                <w:sz w:val="20"/>
                <w:szCs w:val="20"/>
              </w:rPr>
            </w:pPr>
            <w:r>
              <w:rPr>
                <w:color w:val="000000"/>
                <w:spacing w:val="0"/>
                <w:w w:val="100"/>
                <w:position w:val="0"/>
                <w:sz w:val="20"/>
                <w:szCs w:val="20"/>
                <w:shd w:val="clear" w:color="auto" w:fill="auto"/>
                <w:lang w:val="ru-RU" w:eastAsia="ru-RU" w:bidi="ru-RU"/>
              </w:rPr>
              <w:t>15.9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0,275509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3 440,42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947,87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1 760 707,20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онкологических заболеваний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20"/>
              <w:jc w:val="left"/>
              <w:rPr>
                <w:sz w:val="20"/>
                <w:szCs w:val="20"/>
              </w:rPr>
            </w:pPr>
            <w:r>
              <w:rPr>
                <w:color w:val="000000"/>
                <w:spacing w:val="0"/>
                <w:w w:val="100"/>
                <w:position w:val="0"/>
                <w:sz w:val="20"/>
                <w:szCs w:val="20"/>
                <w:shd w:val="clear" w:color="auto" w:fill="auto"/>
                <w:lang w:val="ru-RU" w:eastAsia="ru-RU" w:bidi="ru-RU"/>
              </w:rPr>
              <w:t>15.9.1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0,045050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4 786,53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215,63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400 551,20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сахарного диабета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20"/>
              <w:jc w:val="left"/>
              <w:rPr>
                <w:sz w:val="20"/>
                <w:szCs w:val="20"/>
              </w:rPr>
            </w:pPr>
            <w:r>
              <w:rPr>
                <w:color w:val="000000"/>
                <w:spacing w:val="0"/>
                <w:w w:val="100"/>
                <w:position w:val="0"/>
                <w:sz w:val="20"/>
                <w:szCs w:val="20"/>
                <w:shd w:val="clear" w:color="auto" w:fill="auto"/>
                <w:lang w:val="ru-RU" w:eastAsia="ru-RU" w:bidi="ru-RU"/>
              </w:rPr>
              <w:t>15.9.2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0,059800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2 080,83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124,43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231 140,70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болезней системы кровообращения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20"/>
              <w:jc w:val="left"/>
              <w:rPr>
                <w:sz w:val="20"/>
                <w:szCs w:val="20"/>
              </w:rPr>
            </w:pPr>
            <w:r>
              <w:rPr>
                <w:color w:val="000000"/>
                <w:spacing w:val="0"/>
                <w:w w:val="100"/>
                <w:position w:val="0"/>
                <w:sz w:val="20"/>
                <w:szCs w:val="20"/>
                <w:shd w:val="clear" w:color="auto" w:fill="auto"/>
                <w:lang w:val="ru-RU" w:eastAsia="ru-RU" w:bidi="ru-RU"/>
              </w:rPr>
              <w:t>15.9.3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0,138983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4 067,17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565,27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1 050 013,10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93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2.10) дистанционное наблюдение за состоянием здоровья пациентов,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20"/>
              <w:jc w:val="left"/>
              <w:rPr>
                <w:sz w:val="20"/>
                <w:szCs w:val="20"/>
              </w:rPr>
            </w:pPr>
            <w:r>
              <w:rPr>
                <w:color w:val="000000"/>
                <w:spacing w:val="0"/>
                <w:w w:val="100"/>
                <w:position w:val="0"/>
                <w:sz w:val="20"/>
                <w:szCs w:val="20"/>
                <w:shd w:val="clear" w:color="auto" w:fill="auto"/>
                <w:lang w:val="ru-RU" w:eastAsia="ru-RU" w:bidi="ru-RU"/>
              </w:rPr>
              <w:t>15.10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0,018057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1 224,78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22,12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41 081,40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пациентов с сахарным диабетом</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shd w:val="clear" w:color="auto" w:fill="auto"/>
                <w:lang w:val="ru-RU" w:eastAsia="ru-RU" w:bidi="ru-RU"/>
              </w:rPr>
              <w:t>15.10.1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0,000970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4 035,13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3,92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7 271,30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пациентов с артериальной гипертензией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shd w:val="clear" w:color="auto" w:fill="auto"/>
                <w:lang w:val="ru-RU" w:eastAsia="ru-RU" w:bidi="ru-RU"/>
              </w:rPr>
              <w:t>15.10.2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0,017087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1 065,22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18,20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33 810,10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92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2.11) посещения с профилактическими целями центров здоровья, включая диспансерное наблюдение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20"/>
              <w:jc w:val="left"/>
              <w:rPr>
                <w:sz w:val="20"/>
                <w:szCs w:val="20"/>
              </w:rPr>
            </w:pPr>
            <w:r>
              <w:rPr>
                <w:color w:val="000000"/>
                <w:spacing w:val="0"/>
                <w:w w:val="100"/>
                <w:position w:val="0"/>
                <w:sz w:val="20"/>
                <w:szCs w:val="20"/>
                <w:shd w:val="clear" w:color="auto" w:fill="auto"/>
                <w:lang w:val="ru-RU" w:eastAsia="ru-RU" w:bidi="ru-RU"/>
              </w:rPr>
              <w:t>15.11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0,032831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3 564,62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117,03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217 388,40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853"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3) в условиях дневных стационаров(первичная медико-санитарная помощь, специализированная медицинская помощь), за исключением медицинской реабилитации,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140"/>
              <w:jc w:val="left"/>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0,069345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36 046,09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2 499,62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4 643 168,90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69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3.1) для медицинской помощи по профилю «онкология»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jc w:val="left"/>
              <w:rPr>
                <w:sz w:val="20"/>
                <w:szCs w:val="20"/>
              </w:rPr>
            </w:pPr>
            <w:r>
              <w:rPr>
                <w:color w:val="000000"/>
                <w:spacing w:val="0"/>
                <w:w w:val="100"/>
                <w:position w:val="0"/>
                <w:sz w:val="20"/>
                <w:szCs w:val="20"/>
                <w:shd w:val="clear" w:color="auto" w:fill="auto"/>
                <w:lang w:val="ru-RU" w:eastAsia="ru-RU" w:bidi="ru-RU"/>
              </w:rPr>
              <w:t>16.1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140"/>
              <w:jc w:val="left"/>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0,014388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88 556,69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1 274,13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2 366 766,10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9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3.2) для медицинской помощи при экстракорпоральном оплодотворении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jc w:val="left"/>
              <w:rPr>
                <w:sz w:val="20"/>
                <w:szCs w:val="20"/>
              </w:rPr>
            </w:pPr>
            <w:r>
              <w:rPr>
                <w:color w:val="000000"/>
                <w:spacing w:val="0"/>
                <w:w w:val="100"/>
                <w:position w:val="0"/>
                <w:sz w:val="20"/>
                <w:szCs w:val="20"/>
                <w:shd w:val="clear" w:color="auto" w:fill="auto"/>
                <w:lang w:val="ru-RU" w:eastAsia="ru-RU" w:bidi="ru-RU"/>
              </w:rPr>
              <w:t>16.2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140"/>
              <w:jc w:val="left"/>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0,000741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130 210,88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96,46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179 170,20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619" w:hRule="exact"/>
        </w:trPr>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3.3) для медицинской помощи больным с</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jc w:val="left"/>
              <w:rPr>
                <w:sz w:val="20"/>
                <w:szCs w:val="20"/>
              </w:rPr>
            </w:pPr>
            <w:r>
              <w:rPr>
                <w:color w:val="000000"/>
                <w:spacing w:val="0"/>
                <w:w w:val="100"/>
                <w:position w:val="0"/>
                <w:sz w:val="20"/>
                <w:szCs w:val="20"/>
                <w:shd w:val="clear" w:color="auto" w:fill="auto"/>
                <w:lang w:val="ru-RU" w:eastAsia="ru-RU" w:bidi="ru-RU"/>
              </w:rPr>
              <w:t>16.3</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140"/>
              <w:jc w:val="left"/>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0,001288</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69 401,62</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89,41</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166 078,10</w:t>
            </w:r>
          </w:p>
        </w:tc>
        <w:tc>
          <w:tcPr>
            <w:tcBorders>
              <w:top w:val="single" w:sz="4"/>
              <w:left w:val="single" w:sz="4"/>
              <w:bottom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bl>
    <w:p>
      <w:pPr>
        <w:spacing w:lineRule="exact" w:line="1"/>
        <w:rPr>
          <w:sz w:val="2"/>
          <w:szCs w:val="2"/>
        </w:rPr>
      </w:pPr>
      <w:r>
        <w:br w:type="page"/>
      </w:r>
    </w:p>
    <w:tbl>
      <w:tblPr>
        <w:tblOverlap w:val="never"/>
        <w:jc w:val="center"/>
        <w:tblLayout w:type="fixed"/>
      </w:tblPr>
      <w:tblGrid>
        <w:gridCol w:w="2698"/>
        <w:gridCol w:w="1133"/>
        <w:gridCol w:w="1704"/>
        <w:gridCol w:w="1699"/>
        <w:gridCol w:w="1699"/>
        <w:gridCol w:w="1277"/>
        <w:gridCol w:w="1421"/>
        <w:gridCol w:w="1416"/>
        <w:gridCol w:w="1560"/>
        <w:gridCol w:w="854"/>
      </w:tblGrid>
      <w:tr>
        <w:trPr>
          <w:trHeight w:val="24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w:t>
            </w:r>
          </w:p>
        </w:tc>
      </w:tr>
      <w:tr>
        <w:trPr>
          <w:trHeight w:val="61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вирусным гепатитом С</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84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 специализированная, включая</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высокотехнологичную, медицинская помощь в условиях круглосуточного стационара, за исключением медицинской реабилитации,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0,176524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61 603,42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10 874,48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20 199 884,60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4.1) для медицинской помощи по профилю «онкология»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jc w:val="left"/>
              <w:rPr>
                <w:sz w:val="20"/>
                <w:szCs w:val="20"/>
              </w:rPr>
            </w:pPr>
            <w:r>
              <w:rPr>
                <w:color w:val="000000"/>
                <w:spacing w:val="0"/>
                <w:w w:val="100"/>
                <w:position w:val="0"/>
                <w:sz w:val="20"/>
                <w:szCs w:val="20"/>
                <w:shd w:val="clear" w:color="auto" w:fill="auto"/>
                <w:lang w:val="ru-RU" w:eastAsia="ru-RU" w:bidi="ru-RU"/>
              </w:rPr>
              <w:t>17.1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0,010265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ИЗ 837,32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1 168,56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2 170 650,00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4.2) стентирование коронарных артерий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jc w:val="left"/>
              <w:rPr>
                <w:sz w:val="20"/>
                <w:szCs w:val="20"/>
              </w:rPr>
            </w:pPr>
            <w:r>
              <w:rPr>
                <w:color w:val="000000"/>
                <w:spacing w:val="0"/>
                <w:w w:val="100"/>
                <w:position w:val="0"/>
                <w:sz w:val="20"/>
                <w:szCs w:val="20"/>
                <w:shd w:val="clear" w:color="auto" w:fill="auto"/>
                <w:lang w:val="ru-RU" w:eastAsia="ru-RU" w:bidi="ru-RU"/>
              </w:rPr>
              <w:t>17.2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0,002327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185 544,97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20"/>
              <w:jc w:val="left"/>
              <w:rPr>
                <w:sz w:val="20"/>
                <w:szCs w:val="20"/>
              </w:rPr>
            </w:pPr>
            <w:r>
              <w:rPr>
                <w:color w:val="000000"/>
                <w:spacing w:val="0"/>
                <w:w w:val="100"/>
                <w:position w:val="0"/>
                <w:sz w:val="20"/>
                <w:szCs w:val="20"/>
                <w:shd w:val="clear" w:color="auto" w:fill="auto"/>
                <w:lang w:val="ru-RU" w:eastAsia="ru-RU" w:bidi="ru-RU"/>
              </w:rPr>
              <w:t>431,81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802 110,90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92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4.3) имплантация частотно</w:t>
              <w:softHyphen/>
              <w:t>адаптированного кардиостимулятора взрослым</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jc w:val="left"/>
              <w:rPr>
                <w:sz w:val="20"/>
                <w:szCs w:val="20"/>
              </w:rPr>
            </w:pPr>
            <w:r>
              <w:rPr>
                <w:color w:val="000000"/>
                <w:spacing w:val="0"/>
                <w:w w:val="100"/>
                <w:position w:val="0"/>
                <w:sz w:val="20"/>
                <w:szCs w:val="20"/>
                <w:shd w:val="clear" w:color="auto" w:fill="auto"/>
                <w:lang w:val="ru-RU" w:eastAsia="ru-RU" w:bidi="ru-RU"/>
              </w:rPr>
              <w:t>17.3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0,000430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286 630,37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123,29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229 017,70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9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4.4) эндоваскулярная деструкция дополнительных проводящих путей и аритмогенных зон сердца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jc w:val="left"/>
              <w:rPr>
                <w:sz w:val="20"/>
                <w:szCs w:val="20"/>
              </w:rPr>
            </w:pPr>
            <w:r>
              <w:rPr>
                <w:color w:val="000000"/>
                <w:spacing w:val="0"/>
                <w:w w:val="100"/>
                <w:position w:val="0"/>
                <w:sz w:val="20"/>
                <w:szCs w:val="20"/>
                <w:shd w:val="clear" w:color="auto" w:fill="auto"/>
                <w:lang w:val="ru-RU" w:eastAsia="ru-RU" w:bidi="ru-RU"/>
              </w:rPr>
              <w:t>17.4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0,000189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388 292,69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73,37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136 290,70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16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4.5) оперативные вмешательства на брахиоцефальных артериях (стентирование или эндартерэктомия)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jc w:val="left"/>
              <w:rPr>
                <w:sz w:val="20"/>
                <w:szCs w:val="20"/>
              </w:rPr>
            </w:pPr>
            <w:r>
              <w:rPr>
                <w:color w:val="000000"/>
                <w:spacing w:val="0"/>
                <w:w w:val="100"/>
                <w:position w:val="0"/>
                <w:sz w:val="20"/>
                <w:szCs w:val="20"/>
                <w:shd w:val="clear" w:color="auto" w:fill="auto"/>
                <w:lang w:val="ru-RU" w:eastAsia="ru-RU" w:bidi="ru-RU"/>
              </w:rPr>
              <w:t>17.5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0,000472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233 331,58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110,16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204 631,80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4.6) трансплантация почки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jc w:val="left"/>
              <w:rPr>
                <w:sz w:val="20"/>
                <w:szCs w:val="20"/>
              </w:rPr>
            </w:pPr>
            <w:r>
              <w:rPr>
                <w:color w:val="000000"/>
                <w:spacing w:val="0"/>
                <w:w w:val="100"/>
                <w:position w:val="0"/>
                <w:sz w:val="20"/>
                <w:szCs w:val="20"/>
                <w:shd w:val="clear" w:color="auto" w:fill="auto"/>
                <w:lang w:val="ru-RU" w:eastAsia="ru-RU" w:bidi="ru-RU"/>
              </w:rPr>
              <w:t>17.6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0,000025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1 436 420,88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35,57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66 075,40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5) медицинская реабилитация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570,83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1 060 375,10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5.1) в амбулаторных условиях</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0,003371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30 022,63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101,20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188 001,70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166"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5.2) в условиях дневных стационаров (первичная медико-санитарная помощь, специализированная медицинская помощь)</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20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0,002813</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33 020,94</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92,88</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172 534,40</w:t>
            </w:r>
          </w:p>
        </w:tc>
        <w:tc>
          <w:tcPr>
            <w:tcBorders>
              <w:top w:val="single" w:sz="4"/>
              <w:left w:val="single" w:sz="4"/>
              <w:bottom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bl>
    <w:p>
      <w:pPr>
        <w:spacing w:lineRule="exact" w:line="1"/>
        <w:rPr>
          <w:sz w:val="2"/>
          <w:szCs w:val="2"/>
        </w:rPr>
      </w:pPr>
      <w:r>
        <w:br w:type="page"/>
      </w:r>
    </w:p>
    <w:tbl>
      <w:tblPr>
        <w:tblOverlap w:val="never"/>
        <w:jc w:val="center"/>
        <w:tblLayout w:type="fixed"/>
      </w:tblPr>
      <w:tblGrid>
        <w:gridCol w:w="2698"/>
        <w:gridCol w:w="1133"/>
        <w:gridCol w:w="1704"/>
        <w:gridCol w:w="1699"/>
        <w:gridCol w:w="1699"/>
        <w:gridCol w:w="1277"/>
        <w:gridCol w:w="1421"/>
        <w:gridCol w:w="1416"/>
        <w:gridCol w:w="1560"/>
        <w:gridCol w:w="854"/>
      </w:tblGrid>
      <w:tr>
        <w:trPr>
          <w:trHeight w:val="24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w:t>
            </w:r>
          </w:p>
        </w:tc>
      </w:tr>
      <w:tr>
        <w:trPr>
          <w:trHeight w:val="139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5.3) специализированная, в том числе</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высокотехнологичная, медицинская помощь в условиях круглосуточного стационара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21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0,005869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64 193,63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376,75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699 839,00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6) расходы на ведение дела смо</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22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234,77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436 099,00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39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 Медицинская помощь по видам и заболеваниям, установленным базовой программой ОМС (дополнительное финансовое обеспечение)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1) скорая, в том числе скорая специализированная, медицинская помощь</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24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вызовов</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157"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 первичная медико- санитарная помощь в амбулаторных условиях, за исключением медицинской реабилитации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25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2.1) проведение профилактических медицинских осмотров</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25.1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2.2) проведение диспансеризации, всего,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25.2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для проведения углубленной диспансеризации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25.2.1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15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2.3) проведение</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диспансеризации для оценки репродуктивного здоровья женщин и мужчин,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25.3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5"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женщин</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25.3.1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66"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мужчин</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25.3.2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50"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2.4) для посещений с иными</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25.4</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bl>
    <w:p>
      <w:pPr>
        <w:spacing w:lineRule="exact" w:line="1"/>
        <w:rPr>
          <w:sz w:val="2"/>
          <w:szCs w:val="2"/>
        </w:rPr>
      </w:pPr>
      <w:r>
        <w:br w:type="page"/>
      </w:r>
    </w:p>
    <w:tbl>
      <w:tblPr>
        <w:tblOverlap w:val="never"/>
        <w:jc w:val="center"/>
        <w:tblLayout w:type="fixed"/>
      </w:tblPr>
      <w:tblGrid>
        <w:gridCol w:w="2698"/>
        <w:gridCol w:w="1133"/>
        <w:gridCol w:w="1704"/>
        <w:gridCol w:w="1699"/>
        <w:gridCol w:w="1699"/>
        <w:gridCol w:w="1277"/>
        <w:gridCol w:w="1421"/>
        <w:gridCol w:w="1416"/>
        <w:gridCol w:w="1560"/>
        <w:gridCol w:w="854"/>
      </w:tblGrid>
      <w:tr>
        <w:trPr>
          <w:trHeight w:val="24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20"/>
                <w:szCs w:val="20"/>
              </w:rPr>
            </w:pPr>
            <w:r>
              <w:rPr>
                <w:color w:val="000000"/>
                <w:spacing w:val="0"/>
                <w:w w:val="100"/>
                <w:position w:val="0"/>
                <w:sz w:val="20"/>
                <w:szCs w:val="20"/>
                <w:shd w:val="clear" w:color="auto" w:fill="auto"/>
                <w:lang w:val="ru-RU" w:eastAsia="ru-RU" w:bidi="ru-RU"/>
              </w:rPr>
              <w:t>целями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2.5) в неотложной форме</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25.5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2.6) в связи с заболеваниями (обращений),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25.6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обращений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848"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консультация с применением телемедицинских технологий при дистанционном взаимодействии медицинских работников между собой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25.6.1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консультаций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078"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25.6.2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консультаций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9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2.7) проведение отдельных диагностических (лабораторных) исследований,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25.7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компьютерная томография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25.7.1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магнитно-резонансная томография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25.7.2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ультразвуковое исследование сердечно</w:t>
              <w:softHyphen/>
              <w:t>сосудистой системы</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25.7.3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69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эндоскопическое диагностическое исследование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25.7.4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171"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молекулярно-генетическое исследование с целью диагностики онкологических заболеваний</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25.7.5</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bl>
    <w:p>
      <w:pPr>
        <w:spacing w:lineRule="exact" w:line="1"/>
        <w:rPr>
          <w:sz w:val="2"/>
          <w:szCs w:val="2"/>
        </w:rPr>
      </w:pPr>
      <w:r>
        <w:br w:type="page"/>
      </w:r>
    </w:p>
    <w:tbl>
      <w:tblPr>
        <w:tblOverlap w:val="never"/>
        <w:jc w:val="center"/>
        <w:tblLayout w:type="fixed"/>
      </w:tblPr>
      <w:tblGrid>
        <w:gridCol w:w="2698"/>
        <w:gridCol w:w="1133"/>
        <w:gridCol w:w="1704"/>
        <w:gridCol w:w="1699"/>
        <w:gridCol w:w="1699"/>
        <w:gridCol w:w="1277"/>
        <w:gridCol w:w="1421"/>
        <w:gridCol w:w="1416"/>
        <w:gridCol w:w="1560"/>
        <w:gridCol w:w="854"/>
      </w:tblGrid>
      <w:tr>
        <w:trPr>
          <w:trHeight w:val="24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w:t>
            </w:r>
          </w:p>
        </w:tc>
      </w:tr>
      <w:tr>
        <w:trPr>
          <w:trHeight w:val="1853"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25.7.6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16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позитронная эмиссионная томография и (или)</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позитронная эмиссионная томография, совмещенная с компьютерной томографией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25.7.7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078"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однофотонная эмиссионная компьютерная томография и (или) однофотонная</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эмиссионная компьютерная томография, совмещенная с компьютерной</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томографией, включая все виды сцинтиграфических 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25.7.8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9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неинвазивное пренатальное тестирование (определение внеклеточной ДНК плода по крови матери)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25.7.9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69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определение РНК вируса гепатита С (НераООз С упиз) в крови методом ПЦР</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25.7.10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39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лабораторная диагностика для пациентов с хроническим вирусным гепатитом С (оценка стадии фиброза, определение генотипа ВГС)</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25.7.11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402"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2.8) ведение школ для больных с хроническими неинфекционными заболеваниями, школ для беременных и по вопросам грудного вскармливания, в</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25.8</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bl>
    <w:p>
      <w:pPr>
        <w:spacing w:lineRule="exact" w:line="1"/>
        <w:rPr>
          <w:sz w:val="2"/>
          <w:szCs w:val="2"/>
        </w:rPr>
      </w:pPr>
      <w:r>
        <w:br w:type="page"/>
      </w:r>
    </w:p>
    <w:tbl>
      <w:tblPr>
        <w:tblOverlap w:val="never"/>
        <w:jc w:val="center"/>
        <w:tblLayout w:type="fixed"/>
      </w:tblPr>
      <w:tblGrid>
        <w:gridCol w:w="2698"/>
        <w:gridCol w:w="1133"/>
        <w:gridCol w:w="1704"/>
        <w:gridCol w:w="1699"/>
        <w:gridCol w:w="1699"/>
        <w:gridCol w:w="1277"/>
        <w:gridCol w:w="1421"/>
        <w:gridCol w:w="1416"/>
        <w:gridCol w:w="1560"/>
        <w:gridCol w:w="854"/>
      </w:tblGrid>
      <w:tr>
        <w:trPr>
          <w:trHeight w:val="24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w:t>
            </w:r>
          </w:p>
        </w:tc>
      </w:tr>
      <w:tr>
        <w:trPr>
          <w:trHeight w:val="437"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том числе</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ведение школ для больных сахарным диабетом</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25.8.1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2.9) диспансерное наблюдение, в том числе по поводу</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25.9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онкологических заболеваний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25.9.1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сахарного диабета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25.9.2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болезней системы кровообращения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25.9.3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92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2.10) дистанционное наблюдение за состоянием здоровья пациентов,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25.10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пациентов с сахарным диабетом</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25.10.1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пациентов с артериальной гипертензией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25.10.2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92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2.11) посещения с профилактическими целями центров здоровья, включая диспансерное наблюдение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25.11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84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26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140"/>
              <w:jc w:val="left"/>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3.1) для медицинской помощи по профилю «онкология»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26.1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936"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3.2) для медицинской помощи при экстракорпоральном оплодотворении</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26.2</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bl>
    <w:p>
      <w:pPr>
        <w:spacing w:lineRule="exact" w:line="1"/>
        <w:rPr>
          <w:sz w:val="2"/>
          <w:szCs w:val="2"/>
        </w:rPr>
      </w:pPr>
      <w:r>
        <w:br w:type="page"/>
      </w:r>
    </w:p>
    <w:tbl>
      <w:tblPr>
        <w:tblOverlap w:val="never"/>
        <w:jc w:val="center"/>
        <w:tblLayout w:type="fixed"/>
      </w:tblPr>
      <w:tblGrid>
        <w:gridCol w:w="2698"/>
        <w:gridCol w:w="1133"/>
        <w:gridCol w:w="1704"/>
        <w:gridCol w:w="1699"/>
        <w:gridCol w:w="1699"/>
        <w:gridCol w:w="1277"/>
        <w:gridCol w:w="1421"/>
        <w:gridCol w:w="1416"/>
        <w:gridCol w:w="1560"/>
        <w:gridCol w:w="854"/>
      </w:tblGrid>
      <w:tr>
        <w:trPr>
          <w:trHeight w:val="24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3.3) для медицинской помощи больным с вирусным гепатитом С</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26.3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853"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 специализированная, в том числе</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высокотехнологичная, медицинская помощь в условиях круглосуточного стационара, за исключением медицинской реабилитации,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27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4.1) для медицинской помощи по профилю «онкология»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27.1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6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4.2) стентирование коронарных артерий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27.2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9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4.3) имплантация частотно</w:t>
              <w:softHyphen/>
              <w:t>адаптированного кардиостимулятора взрослым</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27.3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9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4.4) эндоваскулярная деструкция дополнительных проводящих путей и аритмогенных зон сердца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27.4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16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4.5) оперативные вмешательства на брахиоцефальных артериях (стентирование или эндартерэктомия)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27.5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66"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4.6) трансплантация почки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27.6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5) медицинская реабилитация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28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5.1) в амбулаторных условиях</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29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166"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5.2) в условиях дневных стационаров(первичная медико-санитарная помощь, специализированная медицинская помощь)</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30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bl>
    <w:p>
      <w:pPr>
        <w:spacing w:lineRule="exact" w:line="1"/>
        <w:rPr>
          <w:sz w:val="2"/>
          <w:szCs w:val="2"/>
        </w:rPr>
      </w:pPr>
      <w:r>
        <w:br w:type="page"/>
      </w:r>
    </w:p>
    <w:tbl>
      <w:tblPr>
        <w:tblOverlap w:val="never"/>
        <w:jc w:val="center"/>
        <w:tblLayout w:type="fixed"/>
      </w:tblPr>
      <w:tblGrid>
        <w:gridCol w:w="2698"/>
        <w:gridCol w:w="1133"/>
        <w:gridCol w:w="1704"/>
        <w:gridCol w:w="1699"/>
        <w:gridCol w:w="1699"/>
        <w:gridCol w:w="1277"/>
        <w:gridCol w:w="1421"/>
        <w:gridCol w:w="1416"/>
        <w:gridCol w:w="1560"/>
        <w:gridCol w:w="854"/>
      </w:tblGrid>
      <w:tr>
        <w:trPr>
          <w:trHeight w:val="24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w:t>
            </w:r>
          </w:p>
        </w:tc>
      </w:tr>
      <w:tr>
        <w:trPr>
          <w:trHeight w:val="139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5.3) специализированная, в том числе</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высокотехнологичная, медицинская помощь в условиях круглосуточного стационара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60"/>
              <w:jc w:val="left"/>
              <w:rPr>
                <w:sz w:val="20"/>
                <w:szCs w:val="20"/>
              </w:rPr>
            </w:pPr>
            <w:r>
              <w:rPr>
                <w:color w:val="000000"/>
                <w:spacing w:val="0"/>
                <w:w w:val="100"/>
                <w:position w:val="0"/>
                <w:sz w:val="20"/>
                <w:szCs w:val="20"/>
                <w:shd w:val="clear" w:color="auto" w:fill="auto"/>
                <w:lang w:val="ru-RU" w:eastAsia="ru-RU" w:bidi="ru-RU"/>
              </w:rPr>
              <w:t>31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6) расходы на ведение дела смо</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60"/>
              <w:jc w:val="left"/>
              <w:rPr>
                <w:sz w:val="20"/>
                <w:szCs w:val="20"/>
              </w:rPr>
            </w:pPr>
            <w:r>
              <w:rPr>
                <w:color w:val="000000"/>
                <w:spacing w:val="0"/>
                <w:w w:val="100"/>
                <w:position w:val="0"/>
                <w:sz w:val="20"/>
                <w:szCs w:val="20"/>
                <w:shd w:val="clear" w:color="auto" w:fill="auto"/>
                <w:lang w:val="ru-RU" w:eastAsia="ru-RU" w:bidi="ru-RU"/>
              </w:rPr>
              <w:t>32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9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3. Медицинская помощь по видам и заболеваниям, не установленным базовой программой ОМС</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60"/>
              <w:jc w:val="left"/>
              <w:rPr>
                <w:sz w:val="20"/>
                <w:szCs w:val="20"/>
              </w:rPr>
            </w:pPr>
            <w:r>
              <w:rPr>
                <w:color w:val="000000"/>
                <w:spacing w:val="0"/>
                <w:w w:val="100"/>
                <w:position w:val="0"/>
                <w:sz w:val="20"/>
                <w:szCs w:val="20"/>
                <w:shd w:val="clear" w:color="auto" w:fill="auto"/>
                <w:lang w:val="ru-RU" w:eastAsia="ru-RU" w:bidi="ru-RU"/>
              </w:rPr>
              <w:t>33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1) скорая, в том числе скорая специализированная, медицинская помощь</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60"/>
              <w:jc w:val="left"/>
              <w:rPr>
                <w:sz w:val="20"/>
                <w:szCs w:val="20"/>
              </w:rPr>
            </w:pPr>
            <w:r>
              <w:rPr>
                <w:color w:val="000000"/>
                <w:spacing w:val="0"/>
                <w:w w:val="100"/>
                <w:position w:val="0"/>
                <w:sz w:val="20"/>
                <w:szCs w:val="20"/>
                <w:shd w:val="clear" w:color="auto" w:fill="auto"/>
                <w:lang w:val="ru-RU" w:eastAsia="ru-RU" w:bidi="ru-RU"/>
              </w:rPr>
              <w:t>34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вызовов</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157"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 первичная медико- санитарная помощь в амбулаторных условиях, за исключением медицинской реабилитации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60"/>
              <w:jc w:val="left"/>
              <w:rPr>
                <w:sz w:val="20"/>
                <w:szCs w:val="20"/>
              </w:rPr>
            </w:pPr>
            <w:r>
              <w:rPr>
                <w:color w:val="000000"/>
                <w:spacing w:val="0"/>
                <w:w w:val="100"/>
                <w:position w:val="0"/>
                <w:sz w:val="20"/>
                <w:szCs w:val="20"/>
                <w:shd w:val="clear" w:color="auto" w:fill="auto"/>
                <w:lang w:val="ru-RU" w:eastAsia="ru-RU" w:bidi="ru-RU"/>
              </w:rPr>
              <w:t>35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2.1) проведение профилактических медицинских осмотров</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35.1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2.2) проведение диспансеризации, всего,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35.2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для проведения углубленной диспансеризации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35.2.1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16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2.3) проведение</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диспансеризации для оценки репродуктивного здоровья женщин и мужчин,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35.3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женщин</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35.3.1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мужчин</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35.3.2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2.4) посещения с иными целями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35.4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5"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2.5) в неотложной форме</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35.5</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bl>
    <w:p>
      <w:pPr>
        <w:spacing w:lineRule="exact" w:line="1"/>
        <w:rPr>
          <w:sz w:val="2"/>
          <w:szCs w:val="2"/>
        </w:rPr>
      </w:pPr>
      <w:r>
        <w:br w:type="page"/>
      </w:r>
    </w:p>
    <w:tbl>
      <w:tblPr>
        <w:tblOverlap w:val="never"/>
        <w:jc w:val="center"/>
        <w:tblLayout w:type="fixed"/>
      </w:tblPr>
      <w:tblGrid>
        <w:gridCol w:w="2698"/>
        <w:gridCol w:w="1133"/>
        <w:gridCol w:w="1704"/>
        <w:gridCol w:w="1699"/>
        <w:gridCol w:w="1699"/>
        <w:gridCol w:w="1277"/>
        <w:gridCol w:w="1421"/>
        <w:gridCol w:w="1416"/>
        <w:gridCol w:w="1560"/>
        <w:gridCol w:w="854"/>
      </w:tblGrid>
      <w:tr>
        <w:trPr>
          <w:trHeight w:val="24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w:t>
            </w:r>
          </w:p>
        </w:tc>
      </w:tr>
      <w:tr>
        <w:trPr>
          <w:trHeight w:val="47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2.6) в связи с заболеваниями (обращений),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35.6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обращений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848"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консультация с применением телемедицинских технологий при дистанционном взаимодействии медицинских работников между собой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35.6.1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консультаций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078"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35.6.2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консультаций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9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2.7) проведение отдельных диагностических (лабораторных) исследований,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35.7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компьютерная томография</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35.7.1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магнитно-резонансная томография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35.7.2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ультразвуковое исследование сердечно</w:t>
              <w:softHyphen/>
              <w:t>сосудистой системы</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35.7.3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69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20"/>
                <w:szCs w:val="20"/>
              </w:rPr>
            </w:pPr>
            <w:r>
              <w:rPr>
                <w:color w:val="000000"/>
                <w:spacing w:val="0"/>
                <w:w w:val="100"/>
                <w:position w:val="0"/>
                <w:sz w:val="20"/>
                <w:szCs w:val="20"/>
                <w:shd w:val="clear" w:color="auto" w:fill="auto"/>
                <w:lang w:val="ru-RU" w:eastAsia="ru-RU" w:bidi="ru-RU"/>
              </w:rPr>
              <w:t>эндоскопическое диагностическое исследование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35.7.4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16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молекулярно-генетическое исследование с целью диагностики онкологических заболеваний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35.7.5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936"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патолого-анатомическое исследование биопсийного (операционного) материала с целью диагностики</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35.7.6</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bl>
    <w:p>
      <w:pPr>
        <w:spacing w:lineRule="exact" w:line="1"/>
        <w:rPr>
          <w:sz w:val="2"/>
          <w:szCs w:val="2"/>
        </w:rPr>
      </w:pPr>
      <w:r>
        <w:br w:type="page"/>
      </w:r>
    </w:p>
    <w:tbl>
      <w:tblPr>
        <w:tblOverlap w:val="never"/>
        <w:jc w:val="center"/>
        <w:tblLayout w:type="fixed"/>
      </w:tblPr>
      <w:tblGrid>
        <w:gridCol w:w="2698"/>
        <w:gridCol w:w="1133"/>
        <w:gridCol w:w="1704"/>
        <w:gridCol w:w="1699"/>
        <w:gridCol w:w="1699"/>
        <w:gridCol w:w="1277"/>
        <w:gridCol w:w="1421"/>
        <w:gridCol w:w="1416"/>
        <w:gridCol w:w="1560"/>
        <w:gridCol w:w="854"/>
      </w:tblGrid>
      <w:tr>
        <w:trPr>
          <w:trHeight w:val="24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w:t>
            </w:r>
          </w:p>
        </w:tc>
      </w:tr>
      <w:tr>
        <w:trPr>
          <w:trHeight w:val="9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онкологических заболеваний и подбора противоопухолевой лекарственной терапии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16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позитронная эмиссионная томография и (или)</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позитронная эмиссионная томография, совмещенная с компьютерной томографией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shd w:val="clear" w:color="auto" w:fill="auto"/>
                <w:lang w:val="ru-RU" w:eastAsia="ru-RU" w:bidi="ru-RU"/>
              </w:rPr>
              <w:t>35.7.7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078"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однофотонная эмиссионная компьютерная томография и (или) однофотонная</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эмиссионная компьютерная томография, совмещенная с компьютерной</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томографией, включая все виды сцинтиграфических 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shd w:val="clear" w:color="auto" w:fill="auto"/>
                <w:lang w:val="ru-RU" w:eastAsia="ru-RU" w:bidi="ru-RU"/>
              </w:rPr>
              <w:t>35.7.8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9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неинвазивное пренатальное тестирование (определение внеклеточной ДНК плода по крови матери)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shd w:val="clear" w:color="auto" w:fill="auto"/>
                <w:lang w:val="ru-RU" w:eastAsia="ru-RU" w:bidi="ru-RU"/>
              </w:rPr>
              <w:t>35.7.9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определение РНК вируса гепатита С (НераООз С упиз) в крови методом ПЦР</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shd w:val="clear" w:color="auto" w:fill="auto"/>
                <w:lang w:val="ru-RU" w:eastAsia="ru-RU" w:bidi="ru-RU"/>
              </w:rPr>
              <w:t>35.7.10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39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лабораторная диагностика для пациентов с хроническим вирусным гепатитом С (оценка стадии фиброза, определение генотипа ВГС)</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shd w:val="clear" w:color="auto" w:fill="auto"/>
                <w:lang w:val="ru-RU" w:eastAsia="ru-RU" w:bidi="ru-RU"/>
              </w:rPr>
              <w:t>35.7.11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40"/>
              <w:jc w:val="left"/>
              <w:rPr>
                <w:sz w:val="20"/>
                <w:szCs w:val="20"/>
              </w:rPr>
            </w:pPr>
            <w:r>
              <w:rPr>
                <w:color w:val="000000"/>
                <w:spacing w:val="0"/>
                <w:w w:val="100"/>
                <w:position w:val="0"/>
                <w:sz w:val="20"/>
                <w:szCs w:val="20"/>
                <w:shd w:val="clear" w:color="auto" w:fill="auto"/>
                <w:lang w:val="ru-RU" w:eastAsia="ru-RU" w:bidi="ru-RU"/>
              </w:rPr>
              <w:t>исследований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6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2.8) ведение школ для больных с хроническими неинфекционными заболеваниями, школ для беременных и по вопросам грудного вскармливания,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35.8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ведение школ для больных сахарным диабетом</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35.8.1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50"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2.9) диспансерное</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35.9</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bl>
    <w:p>
      <w:pPr>
        <w:spacing w:lineRule="exact" w:line="1"/>
        <w:rPr>
          <w:sz w:val="2"/>
          <w:szCs w:val="2"/>
        </w:rPr>
      </w:pPr>
      <w:r>
        <w:br w:type="page"/>
      </w:r>
    </w:p>
    <w:tbl>
      <w:tblPr>
        <w:tblOverlap w:val="never"/>
        <w:jc w:val="center"/>
        <w:tblLayout w:type="fixed"/>
      </w:tblPr>
      <w:tblGrid>
        <w:gridCol w:w="2698"/>
        <w:gridCol w:w="1133"/>
        <w:gridCol w:w="1704"/>
        <w:gridCol w:w="1699"/>
        <w:gridCol w:w="1699"/>
        <w:gridCol w:w="1277"/>
        <w:gridCol w:w="1421"/>
        <w:gridCol w:w="1416"/>
        <w:gridCol w:w="1560"/>
        <w:gridCol w:w="854"/>
      </w:tblGrid>
      <w:tr>
        <w:trPr>
          <w:trHeight w:val="24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w:t>
            </w:r>
          </w:p>
        </w:tc>
      </w:tr>
      <w:tr>
        <w:trPr>
          <w:trHeight w:val="47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наблюдение, в том числе по поводу</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6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онкологических заболеваний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35.9.1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сахарного диабета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35.9.2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болезней системы кровообращения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35.9.3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93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2.10) дистанционное наблюдение за состоянием здоровья пациентов,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00"/>
              <w:jc w:val="left"/>
              <w:rPr>
                <w:sz w:val="20"/>
                <w:szCs w:val="20"/>
              </w:rPr>
            </w:pPr>
            <w:r>
              <w:rPr>
                <w:color w:val="000000"/>
                <w:spacing w:val="0"/>
                <w:w w:val="100"/>
                <w:position w:val="0"/>
                <w:sz w:val="20"/>
                <w:szCs w:val="20"/>
                <w:shd w:val="clear" w:color="auto" w:fill="auto"/>
                <w:lang w:val="ru-RU" w:eastAsia="ru-RU" w:bidi="ru-RU"/>
              </w:rPr>
              <w:t>35.10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пациентов с сахарным диабетом</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shd w:val="clear" w:color="auto" w:fill="auto"/>
                <w:lang w:val="ru-RU" w:eastAsia="ru-RU" w:bidi="ru-RU"/>
              </w:rPr>
              <w:t>35.10.1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пациентов с артериальной гипертензией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260"/>
              <w:jc w:val="left"/>
              <w:rPr>
                <w:sz w:val="20"/>
                <w:szCs w:val="20"/>
              </w:rPr>
            </w:pPr>
            <w:r>
              <w:rPr>
                <w:color w:val="000000"/>
                <w:spacing w:val="0"/>
                <w:w w:val="100"/>
                <w:position w:val="0"/>
                <w:sz w:val="20"/>
                <w:szCs w:val="20"/>
                <w:shd w:val="clear" w:color="auto" w:fill="auto"/>
                <w:lang w:val="ru-RU" w:eastAsia="ru-RU" w:bidi="ru-RU"/>
              </w:rPr>
              <w:t>35.10.2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92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2.11) посещения с профилактическими целями центров здоровья, включая диспансерное наблюдение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35.11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853"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3) в условиях дневных стационаров(первичная медико-санитарная помощь, специализированная медицинская помощь), за исключением медицинской реабилитации, в том числе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60"/>
              <w:jc w:val="left"/>
              <w:rPr>
                <w:sz w:val="20"/>
                <w:szCs w:val="20"/>
              </w:rPr>
            </w:pPr>
            <w:r>
              <w:rPr>
                <w:color w:val="000000"/>
                <w:spacing w:val="0"/>
                <w:w w:val="100"/>
                <w:position w:val="0"/>
                <w:sz w:val="20"/>
                <w:szCs w:val="20"/>
                <w:shd w:val="clear" w:color="auto" w:fill="auto"/>
                <w:lang w:val="ru-RU" w:eastAsia="ru-RU" w:bidi="ru-RU"/>
              </w:rPr>
              <w:t>36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140"/>
              <w:jc w:val="left"/>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3.1) для медицинской помощи по профилю «онкология»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36.1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140"/>
              <w:jc w:val="left"/>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69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3.2) при</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экстракорпоральном оплодотворении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36.2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140"/>
              <w:jc w:val="left"/>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3.3) для медицинской помощи больным с вирусным гепатитом С</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36.3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140"/>
              <w:jc w:val="left"/>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6"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 специализированная, в том числе</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высокотехнологичная,</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60"/>
              <w:jc w:val="left"/>
              <w:rPr>
                <w:sz w:val="20"/>
                <w:szCs w:val="20"/>
              </w:rPr>
            </w:pPr>
            <w:r>
              <w:rPr>
                <w:color w:val="000000"/>
                <w:spacing w:val="0"/>
                <w:w w:val="100"/>
                <w:position w:val="0"/>
                <w:sz w:val="20"/>
                <w:szCs w:val="20"/>
                <w:shd w:val="clear" w:color="auto" w:fill="auto"/>
                <w:lang w:val="ru-RU" w:eastAsia="ru-RU" w:bidi="ru-RU"/>
              </w:rPr>
              <w:t>37</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bl>
    <w:p>
      <w:pPr>
        <w:spacing w:lineRule="exact" w:line="1"/>
        <w:rPr>
          <w:sz w:val="2"/>
          <w:szCs w:val="2"/>
        </w:rPr>
      </w:pPr>
      <w:r>
        <w:br w:type="page"/>
      </w:r>
    </w:p>
    <w:tbl>
      <w:tblPr>
        <w:tblOverlap w:val="never"/>
        <w:jc w:val="center"/>
        <w:tblLayout w:type="fixed"/>
      </w:tblPr>
      <w:tblGrid>
        <w:gridCol w:w="2698"/>
        <w:gridCol w:w="1133"/>
        <w:gridCol w:w="1704"/>
        <w:gridCol w:w="1699"/>
        <w:gridCol w:w="1699"/>
        <w:gridCol w:w="1277"/>
        <w:gridCol w:w="1421"/>
        <w:gridCol w:w="1416"/>
        <w:gridCol w:w="1560"/>
        <w:gridCol w:w="854"/>
      </w:tblGrid>
      <w:tr>
        <w:trPr>
          <w:trHeight w:val="24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w:t>
            </w:r>
          </w:p>
        </w:tc>
      </w:tr>
      <w:tr>
        <w:trPr>
          <w:trHeight w:val="116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медицинская помощь в условиях круглосуточного стационара, за исключением медицинской реабилитации, в том числе</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70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4.1) для медицинской помощи по профилю «онкология»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37.1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4.2) стентирование коронарных артерий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37.2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9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4.3) имплантация частотно</w:t>
              <w:softHyphen/>
              <w:t>адаптированного кардиостимулятора взрослым</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37.3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9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4.4) эндоваскулярная деструкция дополнительных проводящих путей и аритмогенных зон сердца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37.4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157"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4.5) оперативные вмешательства на брахиоцефальных артериях (стентирование или эндартерэктомия)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37.5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4.6) трансплантация почки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20"/>
                <w:szCs w:val="20"/>
              </w:rPr>
            </w:pPr>
            <w:r>
              <w:rPr>
                <w:color w:val="000000"/>
                <w:spacing w:val="0"/>
                <w:w w:val="100"/>
                <w:position w:val="0"/>
                <w:sz w:val="20"/>
                <w:szCs w:val="20"/>
                <w:shd w:val="clear" w:color="auto" w:fill="auto"/>
                <w:lang w:val="ru-RU" w:eastAsia="ru-RU" w:bidi="ru-RU"/>
              </w:rPr>
              <w:t>37.6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5) медицинская реабилитация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38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5.1) в амбулаторных условиях</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39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комплексных 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157"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5.2) в условиях дневных стационаров (первичная медико-санитарная помощь, специализированная медицинская помощь)</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40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402"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5.3) специализированная, в том числе</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высокотехнологичная, медицинская помощь в условиях круглосуточного стационара</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41</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госпитализации</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bottom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bl>
    <w:p>
      <w:pPr>
        <w:sectPr>
          <w:headerReference w:type="default" r:id="rId41"/>
          <w:footnotePr>
            <w:pos w:val="pageBottom"/>
            <w:numFmt w:val="decimal"/>
            <w:numStart w:val="1"/>
            <w:numRestart w:val="continuous"/>
            <w15:footnoteColumns w:val="1"/>
          </w:footnotePr>
          <w:pgSz w:w="16840" w:h="11900" w:orient="landscape"/>
          <w:pgMar w:top="1005" w:right="383" w:bottom="661" w:left="627" w:header="0" w:footer="233" w:gutter="0"/>
          <w:pgNumType w:start="3"/>
          <w:cols w:space="720"/>
          <w:noEndnote/>
          <w:rtlGutter w:val="0"/>
          <w:docGrid w:linePitch="360"/>
        </w:sectPr>
      </w:pPr>
    </w:p>
    <w:tbl>
      <w:tblPr>
        <w:tblOverlap w:val="never"/>
        <w:jc w:val="center"/>
        <w:tblLayout w:type="fixed"/>
      </w:tblPr>
      <w:tblGrid>
        <w:gridCol w:w="2698"/>
        <w:gridCol w:w="1133"/>
        <w:gridCol w:w="1704"/>
        <w:gridCol w:w="1699"/>
        <w:gridCol w:w="1699"/>
        <w:gridCol w:w="1277"/>
        <w:gridCol w:w="1421"/>
        <w:gridCol w:w="1416"/>
        <w:gridCol w:w="1560"/>
        <w:gridCol w:w="854"/>
      </w:tblGrid>
      <w:tr>
        <w:trPr>
          <w:trHeight w:val="245"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9</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20"/>
              <w:jc w:val="left"/>
              <w:rPr>
                <w:sz w:val="20"/>
                <w:szCs w:val="20"/>
              </w:rPr>
            </w:pPr>
            <w:r>
              <w:rPr>
                <w:color w:val="000000"/>
                <w:spacing w:val="0"/>
                <w:w w:val="100"/>
                <w:position w:val="0"/>
                <w:sz w:val="20"/>
                <w:szCs w:val="20"/>
                <w:shd w:val="clear" w:color="auto" w:fill="auto"/>
                <w:lang w:val="ru-RU" w:eastAsia="ru-RU" w:bidi="ru-RU"/>
              </w:rPr>
              <w:t>10</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6) паллиативная</w:t>
            </w:r>
          </w:p>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медицинская помощь в</w:t>
            </w:r>
          </w:p>
          <w:p>
            <w:pPr>
              <w:pStyle w:val="Style23"/>
              <w:keepNext w:val="0"/>
              <w:keepLines w:val="0"/>
              <w:widowControl w:val="0"/>
              <w:shd w:val="clear" w:color="auto" w:fill="auto"/>
              <w:bidi w:val="0"/>
              <w:spacing w:before="0" w:after="0" w:line="240" w:lineRule="auto"/>
              <w:ind w:left="2140" w:right="0" w:firstLine="0"/>
              <w:jc w:val="left"/>
              <w:rPr>
                <w:sz w:val="8"/>
                <w:szCs w:val="8"/>
              </w:rPr>
            </w:pPr>
            <w:r>
              <w:rPr>
                <w:rFonts w:ascii="Arial" w:eastAsia="Arial" w:hAnsi="Arial" w:cs="Arial"/>
                <w:i/>
                <w:iCs/>
                <w:color w:val="000000"/>
                <w:spacing w:val="0"/>
                <w:w w:val="100"/>
                <w:position w:val="0"/>
                <w:sz w:val="8"/>
                <w:szCs w:val="8"/>
                <w:shd w:val="clear" w:color="auto" w:fill="auto"/>
                <w:lang w:val="ru-RU" w:eastAsia="ru-RU" w:bidi="ru-RU"/>
              </w:rPr>
              <w:t>)</w:t>
            </w:r>
          </w:p>
          <w:p>
            <w:pPr>
              <w:pStyle w:val="Style23"/>
              <w:keepNext w:val="0"/>
              <w:keepLines w:val="0"/>
              <w:widowControl w:val="0"/>
              <w:shd w:val="clear" w:color="auto" w:fill="auto"/>
              <w:bidi w:val="0"/>
              <w:spacing w:before="0" w:after="0" w:line="180" w:lineRule="auto"/>
              <w:ind w:left="0" w:right="0" w:firstLine="0"/>
              <w:jc w:val="left"/>
              <w:rPr>
                <w:sz w:val="20"/>
                <w:szCs w:val="20"/>
              </w:rPr>
            </w:pPr>
            <w:r>
              <w:rPr>
                <w:color w:val="000000"/>
                <w:spacing w:val="0"/>
                <w:w w:val="100"/>
                <w:position w:val="0"/>
                <w:sz w:val="20"/>
                <w:szCs w:val="20"/>
                <w:shd w:val="clear" w:color="auto" w:fill="auto"/>
                <w:lang w:val="ru-RU" w:eastAsia="ru-RU" w:bidi="ru-RU"/>
              </w:rPr>
              <w:t>стационарных условиях</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42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9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6.1) первичная медицинская помощь, в том числе доврачебная и врачебная</w:t>
            </w:r>
            <w:r>
              <w:rPr>
                <w:color w:val="000000"/>
                <w:spacing w:val="0"/>
                <w:w w:val="100"/>
                <w:position w:val="0"/>
                <w:sz w:val="20"/>
                <w:szCs w:val="20"/>
                <w:shd w:val="clear" w:color="auto" w:fill="auto"/>
                <w:vertAlign w:val="superscript"/>
                <w:lang w:val="ru-RU" w:eastAsia="ru-RU" w:bidi="ru-RU"/>
              </w:rPr>
              <w:footnoteReference w:id="2"/>
            </w:r>
            <w:r>
              <w:rPr>
                <w:color w:val="000000"/>
                <w:spacing w:val="0"/>
                <w:w w:val="100"/>
                <w:position w:val="0"/>
                <w:sz w:val="20"/>
                <w:szCs w:val="20"/>
                <w:shd w:val="clear" w:color="auto" w:fill="auto"/>
                <w:vertAlign w:val="superscript"/>
                <w:lang w:val="ru-RU" w:eastAsia="ru-RU" w:bidi="ru-RU"/>
              </w:rPr>
              <w:t xml:space="preserve"> </w:t>
            </w:r>
            <w:r>
              <w:rPr>
                <w:color w:val="000000"/>
                <w:spacing w:val="0"/>
                <w:w w:val="100"/>
                <w:position w:val="0"/>
                <w:sz w:val="20"/>
                <w:szCs w:val="20"/>
                <w:shd w:val="clear" w:color="auto" w:fill="auto"/>
                <w:vertAlign w:val="superscript"/>
                <w:lang w:val="ru-RU" w:eastAsia="ru-RU" w:bidi="ru-RU"/>
              </w:rPr>
              <w:footnoteReference w:id="3"/>
            </w:r>
            <w:r>
              <w:rPr>
                <w:color w:val="000000"/>
                <w:spacing w:val="0"/>
                <w:w w:val="100"/>
                <w:position w:val="0"/>
                <w:sz w:val="20"/>
                <w:szCs w:val="20"/>
                <w:shd w:val="clear" w:color="auto" w:fill="auto"/>
                <w:vertAlign w:val="superscript"/>
                <w:lang w:val="ru-RU" w:eastAsia="ru-RU" w:bidi="ru-RU"/>
              </w:rPr>
              <w:t xml:space="preserve"> </w:t>
            </w:r>
            <w:r>
              <w:rPr>
                <w:color w:val="000000"/>
                <w:spacing w:val="0"/>
                <w:w w:val="100"/>
                <w:position w:val="0"/>
                <w:sz w:val="20"/>
                <w:szCs w:val="20"/>
                <w:shd w:val="clear" w:color="auto" w:fill="auto"/>
                <w:vertAlign w:val="superscript"/>
                <w:lang w:val="ru-RU" w:eastAsia="ru-RU" w:bidi="ru-RU"/>
              </w:rPr>
              <w:footnoteReference w:id="4"/>
            </w:r>
            <w:r>
              <w:rPr>
                <w:color w:val="000000"/>
                <w:spacing w:val="0"/>
                <w:w w:val="100"/>
                <w:position w:val="0"/>
                <w:sz w:val="20"/>
                <w:szCs w:val="20"/>
                <w:shd w:val="clear" w:color="auto" w:fill="auto"/>
                <w:lang w:val="ru-RU" w:eastAsia="ru-RU" w:bidi="ru-RU"/>
              </w:rPr>
              <w:t>, всего, включая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42.1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162"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6.1.1) посещения по паллиативной медицинской помощи без учета посещений на дому патронажными бригадами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42.1.1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70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6.1.2) посещения на дому выездными патронажными бригадами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42.1.2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посещений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1387"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6.2) оказываемая в стационарных условиях (включая койки паллиативной медицинской помощи и койки сестринского ухода)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42.2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койко-дней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6.3) оказываемая в условиях дневного стационара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42.3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случаев лечения</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470"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02" w:lineRule="auto"/>
              <w:ind w:left="0" w:right="0" w:firstLine="0"/>
              <w:jc w:val="left"/>
            </w:pPr>
            <w:r>
              <w:rPr>
                <w:color w:val="000000"/>
                <w:spacing w:val="0"/>
                <w:w w:val="100"/>
                <w:position w:val="0"/>
                <w:sz w:val="20"/>
                <w:szCs w:val="20"/>
                <w:shd w:val="clear" w:color="auto" w:fill="auto"/>
                <w:lang w:val="ru-RU" w:eastAsia="ru-RU" w:bidi="ru-RU"/>
              </w:rPr>
              <w:t xml:space="preserve">7) расходы на ведение дела </w:t>
            </w:r>
            <w:r>
              <w:rPr>
                <w:color w:val="000000"/>
                <w:spacing w:val="0"/>
                <w:w w:val="100"/>
                <w:position w:val="0"/>
                <w:shd w:val="clear" w:color="auto" w:fill="auto"/>
                <w:lang w:val="ru-RU" w:eastAsia="ru-RU" w:bidi="ru-RU"/>
              </w:rPr>
              <w:t>смо</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40"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ru-RU" w:eastAsia="ru-RU" w:bidi="ru-RU"/>
              </w:rPr>
              <w:t>8) иные расходы</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44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0,0</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r>
      <w:tr>
        <w:trPr>
          <w:trHeight w:val="250"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итого</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440"/>
              <w:jc w:val="left"/>
              <w:rPr>
                <w:sz w:val="20"/>
                <w:szCs w:val="20"/>
              </w:rPr>
            </w:pPr>
            <w:r>
              <w:rPr>
                <w:color w:val="000000"/>
                <w:spacing w:val="0"/>
                <w:w w:val="100"/>
                <w:position w:val="0"/>
                <w:sz w:val="20"/>
                <w:szCs w:val="20"/>
                <w:shd w:val="clear" w:color="auto" w:fill="auto"/>
                <w:lang w:val="ru-RU" w:eastAsia="ru-RU" w:bidi="ru-RU"/>
              </w:rPr>
              <w:t>45</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12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25 188,61</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X</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46 789 083,10</w:t>
            </w:r>
          </w:p>
        </w:tc>
        <w:tc>
          <w:tcPr>
            <w:tcBorders>
              <w:top w:val="single" w:sz="4"/>
              <w:left w:val="single" w:sz="4"/>
              <w:bottom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shd w:val="clear" w:color="auto" w:fill="auto"/>
                <w:lang w:val="ru-RU" w:eastAsia="ru-RU" w:bidi="ru-RU"/>
              </w:rPr>
              <w:t>100,00</w:t>
            </w:r>
          </w:p>
        </w:tc>
      </w:tr>
    </w:tbl>
    <w:p>
      <w:pPr>
        <w:sectPr>
          <w:headerReference w:type="default" r:id="rId42"/>
          <w:footnotePr>
            <w:pos w:val="pageBottom"/>
            <w:numFmt w:val="decimal"/>
            <w:numStart w:val="1"/>
            <w:numRestart w:val="continuous"/>
            <w15:footnoteColumns w:val="1"/>
          </w:footnotePr>
          <w:pgSz w:w="16840" w:h="11900" w:orient="landscape"/>
          <w:pgMar w:top="1005" w:right="383" w:bottom="661" w:left="627" w:header="0" w:footer="233" w:gutter="0"/>
          <w:pgNumType w:start="229"/>
          <w:cols w:space="720"/>
          <w:noEndnote/>
          <w:rtlGutter w:val="0"/>
          <w:docGrid w:linePitch="360"/>
        </w:sectPr>
      </w:pPr>
    </w:p>
    <w:p>
      <w:pPr>
        <w:pStyle w:val="Style4"/>
        <w:keepNext w:val="0"/>
        <w:keepLines w:val="0"/>
        <w:widowControl w:val="0"/>
        <w:shd w:val="clear" w:color="auto" w:fill="auto"/>
        <w:bidi w:val="0"/>
        <w:spacing w:before="0" w:after="0" w:line="240" w:lineRule="auto"/>
        <w:ind w:left="0" w:right="0" w:firstLine="720"/>
        <w:jc w:val="left"/>
        <w:sectPr>
          <w:headerReference w:type="default" r:id="rId43"/>
          <w:footnotePr>
            <w:pos w:val="pageBottom"/>
            <w:numFmt w:val="decimal"/>
            <w:numStart w:val="1"/>
            <w:numRestart w:val="continuous"/>
            <w15:footnoteColumns w:val="1"/>
          </w:footnotePr>
          <w:pgSz w:w="16840" w:h="11900" w:orient="landscape"/>
          <w:pgMar w:top="1005" w:right="383" w:bottom="661" w:left="627" w:header="0" w:footer="233" w:gutter="0"/>
          <w:pgNumType w:start="23"/>
          <w:cols w:space="720"/>
          <w:noEndnote/>
          <w:rtlGutter w:val="0"/>
          <w:docGrid w:linePitch="360"/>
        </w:sectPr>
      </w:pPr>
      <w:r>
        <w:rPr>
          <w:color w:val="000000"/>
          <w:spacing w:val="0"/>
          <w:w w:val="100"/>
          <w:position w:val="0"/>
          <w:shd w:val="clear" w:color="auto" w:fill="auto"/>
          <w:vertAlign w:val="superscript"/>
          <w:lang w:val="ru-RU" w:eastAsia="ru-RU" w:bidi="ru-RU"/>
        </w:rPr>
        <w:t>3</w:t>
      </w:r>
      <w:r>
        <w:rPr>
          <w:color w:val="000000"/>
          <w:spacing w:val="0"/>
          <w:w w:val="100"/>
          <w:position w:val="0"/>
          <w:shd w:val="clear" w:color="auto" w:fill="auto"/>
          <w:lang w:val="ru-RU" w:eastAsia="ru-RU" w:bidi="ru-RU"/>
        </w:rPr>
        <w:t xml:space="preserve"> Включены в норматив объема первичной медико-санитарной помощи в амбулаторных условиях.</w:t>
      </w:r>
    </w:p>
    <w:p>
      <w:pPr>
        <w:pStyle w:val="Style4"/>
        <w:keepNext w:val="0"/>
        <w:keepLines w:val="0"/>
        <w:widowControl w:val="0"/>
        <w:shd w:val="clear" w:color="auto" w:fill="auto"/>
        <w:bidi w:val="0"/>
        <w:spacing w:before="0" w:after="540" w:line="240" w:lineRule="auto"/>
        <w:ind w:left="9560" w:right="280" w:firstLine="0"/>
        <w:jc w:val="right"/>
      </w:pPr>
      <w:r>
        <w:rPr>
          <w:color w:val="000000"/>
          <w:spacing w:val="0"/>
          <w:w w:val="100"/>
          <w:position w:val="0"/>
          <w:shd w:val="clear" w:color="auto" w:fill="auto"/>
          <w:lang w:val="ru-RU" w:eastAsia="ru-RU" w:bidi="ru-RU"/>
        </w:rPr>
        <w:t>Приложение № 10 к Территориальной программе государственных гарантий бесплатного оказания гражданам медицинской помощи в Омской области на 2026 год и на плановый период 2027 и 2028 годов</w:t>
      </w:r>
    </w:p>
    <w:p>
      <w:pPr>
        <w:pStyle w:val="Style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ПЕРЕЧЕНЬ</w:t>
      </w:r>
    </w:p>
    <w:p>
      <w:pPr>
        <w:pStyle w:val="Style4"/>
        <w:keepNext w:val="0"/>
        <w:keepLines w:val="0"/>
        <w:widowControl w:val="0"/>
        <w:shd w:val="clear" w:color="auto" w:fill="auto"/>
        <w:bidi w:val="0"/>
        <w:spacing w:before="0" w:after="280" w:line="240" w:lineRule="auto"/>
        <w:ind w:left="0" w:right="0" w:firstLine="0"/>
        <w:jc w:val="center"/>
      </w:pPr>
      <w:r>
        <w:rPr>
          <w:color w:val="000000"/>
          <w:spacing w:val="0"/>
          <w:w w:val="100"/>
          <w:position w:val="0"/>
          <w:shd w:val="clear" w:color="auto" w:fill="auto"/>
          <w:lang w:val="ru-RU" w:eastAsia="ru-RU" w:bidi="ru-RU"/>
        </w:rPr>
        <w:t>медицинских организаций, участвующих в 2026 году в реализации Территориальной программы государственных гарантий</w:t>
        <w:br/>
        <w:t>бесплатного оказания гражданам медицинской помощи в Омской области на 2026 год и на плановый период 2027 и</w:t>
        <w:br/>
        <w:t>2028 годов, в том числе территориальной программы обязательного медицинского страхования, и перечень</w:t>
        <w:br/>
        <w:t>медицинских организаций, проводящих профилактические медицинские осмотры и диспансеризацию,</w:t>
        <w:br/>
        <w:t>в том числе углубленную диспансеризацию, в 2026 году</w:t>
      </w:r>
    </w:p>
    <w:tbl>
      <w:tblPr>
        <w:tblOverlap w:val="never"/>
        <w:jc w:val="center"/>
        <w:tblLayout w:type="fixed"/>
      </w:tblPr>
      <w:tblGrid>
        <w:gridCol w:w="571"/>
        <w:gridCol w:w="2126"/>
        <w:gridCol w:w="2981"/>
        <w:gridCol w:w="1555"/>
        <w:gridCol w:w="1277"/>
        <w:gridCol w:w="1133"/>
        <w:gridCol w:w="994"/>
        <w:gridCol w:w="850"/>
        <w:gridCol w:w="850"/>
        <w:gridCol w:w="854"/>
        <w:gridCol w:w="850"/>
        <w:gridCol w:w="850"/>
        <w:gridCol w:w="854"/>
      </w:tblGrid>
      <w:tr>
        <w:trPr>
          <w:trHeight w:val="221" w:hRule="exact"/>
        </w:trPr>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 п/п</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10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Код медицинской организации по реестру медицинских организаций, осуществляющих деятельность в сфере обязательного медицинского страхования</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10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Наименование медицинской организации</w:t>
            </w:r>
          </w:p>
        </w:tc>
        <w:tc>
          <w:tcPr>
            <w:gridSpan w:val="10"/>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в том числе*</w:t>
            </w:r>
          </w:p>
        </w:tc>
      </w:tr>
      <w:tr>
        <w:trPr>
          <w:trHeight w:val="216"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vMerge w:val="restart"/>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осуществляю</w:t>
              <w:softHyphen/>
              <w:t>щие деятельность в рамках выполнения государствен</w:t>
              <w:softHyphen/>
              <w:t>ного задания за счет бюджетных ассигнований областного бюджета</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10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осуществ</w:t>
              <w:softHyphen/>
              <w:t>ляющие деятель</w:t>
              <w:softHyphen/>
              <w:t>ность в сфере обязатель</w:t>
              <w:softHyphen/>
              <w:t>ного медицинс</w:t>
              <w:softHyphen/>
              <w:t>кого страхова</w:t>
              <w:softHyphen/>
              <w:t>ния</w:t>
            </w:r>
          </w:p>
        </w:tc>
        <w:tc>
          <w:tcPr>
            <w:gridSpan w:val="8"/>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ИЗ них</w:t>
            </w:r>
          </w:p>
        </w:tc>
      </w:tr>
      <w:tr>
        <w:trPr>
          <w:trHeight w:val="221"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vMerge/>
            <w:tcBorders>
              <w:left w:val="single" w:sz="4"/>
            </w:tcBorders>
            <w:shd w:val="clear" w:color="auto" w:fill="auto"/>
            <w:vAlign w:val="center"/>
          </w:tcPr>
          <w:p>
            <w:pPr/>
          </w:p>
        </w:tc>
        <w:tc>
          <w:tcPr>
            <w:vMerge/>
            <w:tcBorders>
              <w:left w:val="single" w:sz="4"/>
            </w:tcBorders>
            <w:shd w:val="clear" w:color="auto" w:fill="auto"/>
            <w:vAlign w:val="top"/>
          </w:tcPr>
          <w:p>
            <w:pP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10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проводя</w:t>
              <w:softHyphen/>
              <w:t>щие профилак</w:t>
              <w:softHyphen/>
              <w:t>тические медицинс</w:t>
              <w:softHyphen/>
              <w:t>кие осмотры и диспансе</w:t>
              <w:softHyphen/>
              <w:t>ризацию</w:t>
            </w:r>
          </w:p>
        </w:tc>
        <w:tc>
          <w:tcPr>
            <w:gridSpan w:val="2"/>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в том числе</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прово- дящие диспан</w:t>
              <w:softHyphen/>
              <w:t>серное наблю</w:t>
              <w:softHyphen/>
              <w:t>дение</w:t>
            </w:r>
          </w:p>
        </w:tc>
        <w:tc>
          <w:tcPr>
            <w:vMerge w:val="restart"/>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прово- дящие меди</w:t>
              <w:softHyphen/>
              <w:t>цинскую реаби</w:t>
              <w:softHyphen/>
              <w:t>ли</w:t>
              <w:softHyphen/>
              <w:t>тацию</w:t>
            </w:r>
          </w:p>
        </w:tc>
        <w:tc>
          <w:tcPr>
            <w:gridSpan w:val="3"/>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в том числе</w:t>
            </w:r>
          </w:p>
        </w:tc>
      </w:tr>
      <w:tr>
        <w:trPr>
          <w:trHeight w:val="2299" w:hRule="exact"/>
        </w:trPr>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vMerge/>
            <w:tcBorders>
              <w:left w:val="single" w:sz="4"/>
            </w:tcBorders>
            <w:shd w:val="clear" w:color="auto" w:fill="auto"/>
            <w:vAlign w:val="center"/>
          </w:tcPr>
          <w:p>
            <w:pPr/>
          </w:p>
        </w:tc>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10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углуб</w:t>
              <w:softHyphen/>
              <w:t>ленную диспан</w:t>
              <w:softHyphen/>
              <w:t>сери</w:t>
              <w:softHyphen/>
              <w:t>зацию</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ДЛЯ оценки репро</w:t>
              <w:softHyphen/>
              <w:t>дуктив</w:t>
              <w:softHyphen/>
              <w:t>ного здо</w:t>
              <w:softHyphen/>
              <w:t>ровья женщин и мужчин</w:t>
            </w:r>
          </w:p>
        </w:tc>
        <w:tc>
          <w:tcPr>
            <w:vMerge/>
            <w:tcBorders>
              <w:left w:val="single" w:sz="4"/>
            </w:tcBorders>
            <w:shd w:val="clear" w:color="auto" w:fill="auto"/>
            <w:vAlign w:val="top"/>
          </w:tcPr>
          <w:p>
            <w:pPr/>
          </w:p>
        </w:tc>
        <w:tc>
          <w:tcPr>
            <w:vMerge/>
            <w:tcBorders>
              <w:left w:val="single" w:sz="4"/>
            </w:tcBorders>
            <w:shd w:val="clear" w:color="auto" w:fill="auto"/>
            <w:vAlign w:val="top"/>
          </w:tcPr>
          <w:p>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10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в амбула</w:t>
              <w:softHyphen/>
              <w:t>торных усло</w:t>
              <w:softHyphen/>
              <w:t>виях</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10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в усло</w:t>
              <w:softHyphen/>
              <w:t>виях дневных стацио</w:t>
              <w:softHyphen/>
              <w:t>наров</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10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в усло</w:t>
              <w:softHyphen/>
              <w:t>виях кругло</w:t>
              <w:softHyphen/>
              <w:t>суточ</w:t>
              <w:softHyphen/>
              <w:t>ных стацио</w:t>
              <w:softHyphen/>
              <w:t>наров</w:t>
            </w:r>
          </w:p>
        </w:tc>
      </w:tr>
      <w:tr>
        <w:trPr>
          <w:trHeight w:val="221"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4</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6</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7</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8</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9</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12</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13</w:t>
            </w:r>
          </w:p>
        </w:tc>
      </w:tr>
      <w:tr>
        <w:trPr>
          <w:trHeight w:val="835"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00620000000000000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Автономное учреждение здравоохранения Омской области «Врачебно</w:t>
              <w:softHyphen/>
              <w:t>косметологическая лечебница»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04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00609800000000000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Бюджетное учреждение здравоохранения Омской области (далее - БУЗОО) «Азовская центральная районная больница»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26"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00609900000000000</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«Большереченская</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r>
    </w:tbl>
    <w:p>
      <w:pPr>
        <w:sectPr>
          <w:headerReference w:type="default" r:id="rId44"/>
          <w:footnotePr>
            <w:pos w:val="pageBottom"/>
            <w:numFmt w:val="decimal"/>
            <w:numStart w:val="1"/>
            <w:numRestart w:val="continuous"/>
            <w15:footnoteColumns w:val="1"/>
          </w:footnotePr>
          <w:pgSz w:w="16840" w:h="11900" w:orient="landscape"/>
          <w:pgMar w:top="959" w:right="533" w:bottom="860" w:left="562" w:header="531" w:footer="432" w:gutter="0"/>
          <w:pgNumType w:start="231"/>
          <w:cols w:space="720"/>
          <w:noEndnote/>
          <w:rtlGutter w:val="0"/>
          <w:docGrid w:linePitch="360"/>
        </w:sectPr>
      </w:pPr>
    </w:p>
    <w:tbl>
      <w:tblPr>
        <w:tblOverlap w:val="never"/>
        <w:jc w:val="center"/>
        <w:tblLayout w:type="fixed"/>
      </w:tblPr>
      <w:tblGrid>
        <w:gridCol w:w="571"/>
        <w:gridCol w:w="2126"/>
        <w:gridCol w:w="2981"/>
        <w:gridCol w:w="1555"/>
        <w:gridCol w:w="1277"/>
        <w:gridCol w:w="1133"/>
        <w:gridCol w:w="994"/>
        <w:gridCol w:w="850"/>
        <w:gridCol w:w="850"/>
        <w:gridCol w:w="854"/>
        <w:gridCol w:w="850"/>
        <w:gridCol w:w="850"/>
        <w:gridCol w:w="854"/>
      </w:tblGrid>
      <w:tr>
        <w:trPr>
          <w:trHeight w:val="22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340" w:firstLine="0"/>
              <w:jc w:val="right"/>
              <w:rPr>
                <w:sz w:val="18"/>
                <w:szCs w:val="18"/>
              </w:rPr>
            </w:pPr>
            <w:r>
              <w:rPr>
                <w:rFonts w:ascii="Arial" w:eastAsia="Arial" w:hAnsi="Arial" w:cs="Arial"/>
                <w:color w:val="000000"/>
                <w:spacing w:val="0"/>
                <w:w w:val="100"/>
                <w:position w:val="0"/>
                <w:sz w:val="18"/>
                <w:szCs w:val="18"/>
                <w:shd w:val="clear" w:color="auto" w:fill="auto"/>
                <w:lang w:val="ru-RU" w:eastAsia="ru-RU" w:bidi="ru-RU"/>
              </w:rPr>
              <w:t>11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12</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13</w:t>
            </w:r>
          </w:p>
        </w:tc>
      </w:tr>
      <w:tr>
        <w:trPr>
          <w:trHeight w:val="427"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центральная районная больница»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4</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00610000000000000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«Большеуковская центральная районная больница»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5</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00610100000000000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«Горьковская центральная районная больница»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6</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00610200000000000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«Знаменская центральная районная больница»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7</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00610300000000000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«Исилькульская центральная районная больница»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00610400000000000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«Калачинская центральная районная больница»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9</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00610500000000000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«Колосовская центральная районная больница»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00610600000000000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«Кормиловская центральная районная больница»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840"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00610700000000000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«Крутинская центральная районная больница имени профессора А.В. Вишневского»</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12</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00610800000000000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«Любинская центральная районная больница»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13</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00610900000000000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«Марьяновская центральная районная больница»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14</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00611000000000000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«Москаленская центральная районная больница»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15</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00611100000000000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«Муромцевская центральная районная больница»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16</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00611200000000000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«Называевская центральная районная больница»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17</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00611300000000000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«Нижнеомская центральная районная больница»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26"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18</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00611400000000000</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«Нововаршавская</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571"/>
        <w:gridCol w:w="2126"/>
        <w:gridCol w:w="2981"/>
        <w:gridCol w:w="1555"/>
        <w:gridCol w:w="1277"/>
        <w:gridCol w:w="1133"/>
        <w:gridCol w:w="994"/>
        <w:gridCol w:w="850"/>
        <w:gridCol w:w="850"/>
        <w:gridCol w:w="854"/>
        <w:gridCol w:w="850"/>
        <w:gridCol w:w="850"/>
        <w:gridCol w:w="854"/>
      </w:tblGrid>
      <w:tr>
        <w:trPr>
          <w:trHeight w:val="22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340" w:firstLine="0"/>
              <w:jc w:val="right"/>
              <w:rPr>
                <w:sz w:val="18"/>
                <w:szCs w:val="18"/>
              </w:rPr>
            </w:pPr>
            <w:r>
              <w:rPr>
                <w:rFonts w:ascii="Arial" w:eastAsia="Arial" w:hAnsi="Arial" w:cs="Arial"/>
                <w:color w:val="000000"/>
                <w:spacing w:val="0"/>
                <w:w w:val="100"/>
                <w:position w:val="0"/>
                <w:sz w:val="18"/>
                <w:szCs w:val="18"/>
                <w:shd w:val="clear" w:color="auto" w:fill="auto"/>
                <w:lang w:val="ru-RU" w:eastAsia="ru-RU" w:bidi="ru-RU"/>
              </w:rPr>
              <w:t>11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12</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13</w:t>
            </w:r>
          </w:p>
        </w:tc>
      </w:tr>
      <w:tr>
        <w:trPr>
          <w:trHeight w:val="427"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центральная районная больница»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19</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00611500000000000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«Одесская центральная районная больница»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20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00611600000000000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«Оконешниковская центральная районная больница»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21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00611700000000000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«Омская центральная районная больница»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22</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00611800000000000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«Павлоградская центральная районная больница»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23</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00611900000000000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«Полтавская центральная районная больница»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24</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00612000000000000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«Русско-Полянская центральная районная больница»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25</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00612100000000000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«Саргатская центральная районная больница»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26</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00612200000000000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«Седельниковская центральная районная больница»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27</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00612300000000000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«Таврическая центральная районная больница»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28</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00612400000000000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«Тарская центральная районная больница»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29</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00612500000000000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«Тевризская центральная районная больница»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30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00612600000000000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«Тюкалинская центральная районная больница»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31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00612700000000000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«Усть-Ишимская центральная районная больница»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32</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00612800000000000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«Черлакская центральная районная больница»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33</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00612900000000000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«Шербакульская центральная районная больница»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32"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34</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00613000000000000</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«Региональный клинический перинатальный</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r>
    </w:tbl>
    <w:p>
      <w:pPr>
        <w:spacing w:lineRule="exact" w:line="1"/>
        <w:rPr>
          <w:sz w:val="2"/>
          <w:szCs w:val="2"/>
        </w:rPr>
      </w:pPr>
      <w:r>
        <w:br w:type="page"/>
      </w:r>
    </w:p>
    <w:tbl>
      <w:tblPr>
        <w:tblOverlap w:val="never"/>
        <w:jc w:val="center"/>
        <w:tblLayout w:type="fixed"/>
      </w:tblPr>
      <w:tblGrid>
        <w:gridCol w:w="571"/>
        <w:gridCol w:w="2126"/>
        <w:gridCol w:w="2981"/>
        <w:gridCol w:w="1555"/>
        <w:gridCol w:w="1277"/>
        <w:gridCol w:w="1133"/>
        <w:gridCol w:w="994"/>
        <w:gridCol w:w="850"/>
        <w:gridCol w:w="850"/>
        <w:gridCol w:w="854"/>
        <w:gridCol w:w="850"/>
        <w:gridCol w:w="850"/>
        <w:gridCol w:w="854"/>
      </w:tblGrid>
      <w:tr>
        <w:trPr>
          <w:trHeight w:val="22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340" w:firstLine="0"/>
              <w:jc w:val="right"/>
              <w:rPr>
                <w:sz w:val="18"/>
                <w:szCs w:val="18"/>
              </w:rPr>
            </w:pPr>
            <w:r>
              <w:rPr>
                <w:rFonts w:ascii="Arial" w:eastAsia="Arial" w:hAnsi="Arial" w:cs="Arial"/>
                <w:color w:val="000000"/>
                <w:spacing w:val="0"/>
                <w:w w:val="100"/>
                <w:position w:val="0"/>
                <w:sz w:val="18"/>
                <w:szCs w:val="18"/>
                <w:shd w:val="clear" w:color="auto" w:fill="auto"/>
                <w:lang w:val="ru-RU" w:eastAsia="ru-RU" w:bidi="ru-RU"/>
              </w:rPr>
              <w:t>11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12</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13</w:t>
            </w:r>
          </w:p>
        </w:tc>
      </w:tr>
      <w:tr>
        <w:trPr>
          <w:trHeight w:val="216"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центр»</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35</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00613400000000000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«Клинический родильный дом № 6»</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36</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00613500000000000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«Городская клиническая стоматологическая поликлиника № 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37</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00613600000000000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«Городская стоматологическая поликлиника №2»</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38</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00613700000000000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«Городская стоматологическая поликлиника №3»</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39</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00613800000000000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«Городская стоматологическая поликлиника № 4 «Люксдент»</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40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00613900000000000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«Детская стоматологическая поликлиника № 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41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00614000000000000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«Детская городская поликлиника № 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42</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00614100000000000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«Детская городская поликлиника № 2 имени Скворцова В.Е.»</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43</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00614200000000000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«Детская городская поликлиника № 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44</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00614300000000000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«Детская городская поликлиника № 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45</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00614400000000000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«Детская городская поликлиника № 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46</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00614500000000000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«Детская городская поликлиника № 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47</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00614600000000000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«Детская городская поликлиника № 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48</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00614700000000000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«Детская городская больница № 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49</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00614800000000000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«Городская детская клиническая больница № 2 имени В.П. Бисяриной»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50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00614900000000000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«Городская детская клиническая больница № 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51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00615000000000000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«Детская городская больница № 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52</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00615100000000000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«Городская поликлиника № 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53</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00615200000000000</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«Городская поликлиника №2»</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571"/>
        <w:gridCol w:w="2126"/>
        <w:gridCol w:w="2981"/>
        <w:gridCol w:w="1555"/>
        <w:gridCol w:w="1277"/>
        <w:gridCol w:w="1133"/>
        <w:gridCol w:w="994"/>
        <w:gridCol w:w="850"/>
        <w:gridCol w:w="850"/>
        <w:gridCol w:w="854"/>
        <w:gridCol w:w="850"/>
        <w:gridCol w:w="850"/>
        <w:gridCol w:w="854"/>
      </w:tblGrid>
      <w:tr>
        <w:trPr>
          <w:trHeight w:val="22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12</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13</w:t>
            </w: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54</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00615300000000000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«Городская поликлиника №3»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55</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00615400000000000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«Городская поликлиника № 4»</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56</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00615500000000000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«Городская поликлиника № 6»</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57</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00615600000000000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«Городская поликлиника № 8»</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58</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00615700000000000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«Городская поликлиника № 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59</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00615800000000000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«Городская поликлиника № 10»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60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00615900000000000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«Городская поликлиника №11»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61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00616000000000000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«Городская поликлиника № 12»</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62</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00616100000000000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«Городская поликлиника № 13»</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63</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00616200000000000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«Городская поликлиника № 15»</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64</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00616300000000000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«Медико-санитарная часть № 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65</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00616400000000000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«Клиническая медико- санитарная часть № 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66</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00616500000000000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«Клиническая медико- санитарная часть № 9»</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67</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00616600000000000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«Городская клиническая больница скорой медицинской помощи № 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68</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00616700000000000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«Городская клиническая больница скорой медицинской помощи № 2»</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69</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00616800000000000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«Городская больница №2»</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70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00616900000000000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«Городская больница №3»</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71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00617000000000000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«Клинический кардиологический диспансер»</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72</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00617100000000000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«Городская больница № 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73</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00617200000000000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«Городская больница №7»</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74</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00617300000000000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«Гинекологическая больница»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37"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75</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00617400000000000</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«Городская больница № 9»</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571"/>
        <w:gridCol w:w="2126"/>
        <w:gridCol w:w="2981"/>
        <w:gridCol w:w="1555"/>
        <w:gridCol w:w="1277"/>
        <w:gridCol w:w="1133"/>
        <w:gridCol w:w="994"/>
        <w:gridCol w:w="850"/>
        <w:gridCol w:w="850"/>
        <w:gridCol w:w="854"/>
        <w:gridCol w:w="850"/>
        <w:gridCol w:w="850"/>
        <w:gridCol w:w="854"/>
      </w:tblGrid>
      <w:tr>
        <w:trPr>
          <w:trHeight w:val="22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4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2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12</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13</w:t>
            </w: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76</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00617600000000000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«Городская клиническая больница №11»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77</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00617500000000000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«Городская больница № 17»</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78</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00617700000000000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«Городская клиническая больница № 1 имени</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Кабанова А.Н.»</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79</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00617800000000000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«Областная клиническая больница»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80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00617900000000000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33"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«Врачебно</w:t>
              <w:softHyphen/>
              <w:t>физкультурный диспансер»</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81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00618000000000000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«Госпиталь для ветеранов войн»</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82</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00618100000000000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«Инфекционная клиническая больница № 1 имени Далматова Д.М.»</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83</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00618200000000000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«Клинический диагностический центр»</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r>
      <w:tr>
        <w:trPr>
          <w:trHeight w:val="41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84</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00618300000000000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«Клинический кожно</w:t>
              <w:softHyphen/>
              <w:t>венерологический диспансер»</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840"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85</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00618400000000000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«Клинический медико</w:t>
              <w:softHyphen/>
              <w:t>хирургический центр Министерства здравоохранения Омской области»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86</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00618500000000000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«Клиническая офтальмологическая больница имени В.П. Выходцева»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87</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00618600000000000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«Клинический онкологический диспансер»</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88</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00618700000000000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«Областная детская клиническая больница»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89</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00618800000000000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«Стоматологическая поликлиника»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90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00618900000000000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«Центр медицинской реабилитации»</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91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00619000000000000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«Станция скорой медицинской помощи»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92</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00619100000000000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«Областной центр общественного здоровья и медицинской профилактики»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840"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93</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00619200000000000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«Областной клинический противотуберкулезный диспансер»</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32"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94</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00619300000000000</w:t>
            </w: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«Центр по профилактике и борьбе со</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571"/>
        <w:gridCol w:w="2126"/>
        <w:gridCol w:w="2981"/>
        <w:gridCol w:w="1555"/>
        <w:gridCol w:w="1277"/>
        <w:gridCol w:w="1133"/>
        <w:gridCol w:w="994"/>
        <w:gridCol w:w="850"/>
        <w:gridCol w:w="850"/>
        <w:gridCol w:w="854"/>
        <w:gridCol w:w="850"/>
        <w:gridCol w:w="850"/>
        <w:gridCol w:w="854"/>
      </w:tblGrid>
      <w:tr>
        <w:trPr>
          <w:trHeight w:val="22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320" w:firstLine="0"/>
              <w:jc w:val="right"/>
              <w:rPr>
                <w:sz w:val="18"/>
                <w:szCs w:val="18"/>
              </w:rPr>
            </w:pPr>
            <w:r>
              <w:rPr>
                <w:rFonts w:ascii="Arial" w:eastAsia="Arial" w:hAnsi="Arial" w:cs="Arial"/>
                <w:color w:val="000000"/>
                <w:spacing w:val="0"/>
                <w:w w:val="100"/>
                <w:position w:val="0"/>
                <w:sz w:val="18"/>
                <w:szCs w:val="18"/>
                <w:shd w:val="clear" w:color="auto" w:fill="auto"/>
                <w:lang w:val="ru-RU" w:eastAsia="ru-RU" w:bidi="ru-RU"/>
              </w:rPr>
              <w:t>10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12</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13</w:t>
            </w:r>
          </w:p>
        </w:tc>
      </w:tr>
      <w:tr>
        <w:trPr>
          <w:trHeight w:val="427"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СПИД и инфекционными заболеваниями»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66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95</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00619400000000000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Федеральное государственное бюджетное образовательное учреждение высшего образования «Омский государственный медицинский университет» Министерства здравоохранения Российской Федерации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04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96</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00619600000000000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Федеральное казенное учреждение здравоохранения «Медико-санитарная часть № 55 Федеральной службы исполнения наказаний»</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248"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97</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00619700000000000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Федеральное государственное бюджетное учреждение здравоохранения «Западно- Сибирский медицинский центр Федерального медико</w:t>
              <w:softHyphen/>
              <w:t>биологического агентства»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right w:val="single" w:sz="4"/>
            </w:tcBorders>
            <w:shd w:val="clear" w:color="auto" w:fill="auto"/>
            <w:vAlign w:val="top"/>
          </w:tcPr>
          <w:p>
            <w:pPr>
              <w:widowControl w:val="0"/>
              <w:rPr>
                <w:sz w:val="10"/>
                <w:szCs w:val="10"/>
              </w:rPr>
            </w:pPr>
          </w:p>
        </w:tc>
      </w:tr>
      <w:tr>
        <w:trPr>
          <w:trHeight w:val="1253"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98</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00619800000000000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Федеральное казенное учреждение здравоохранения «Медико-санитарная часть Министерства внутренних дел Российской Федерации по Омской области»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253"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99</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00619900000000000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Федеральное бюджетное учреждение Центр реабилитации Фонда пенсионного и социального страхования Российской Федерации «Омский»</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38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r>
      <w:tr>
        <w:trPr>
          <w:trHeight w:val="1253"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00597100000000000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Федеральное государственное бюджетное научное учреждение «Федеральный исследовательский центр фундаментальной и трансляционной медицины»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101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00034300000000000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33"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Медицинское частное учреждение «Нефросовет»</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102</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00620900000000000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Общество с ограниченной ответственностью (далее -</w:t>
            </w:r>
          </w:p>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ООО) «Альфа-ЭмБио»</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1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103</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00621000000000000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ООО «Ангел»</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1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104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01436500000000000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ООО «Варикоза нет»</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26"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105</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01235000000000000</w:t>
            </w: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ООО «Виталаб»</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571"/>
        <w:gridCol w:w="2126"/>
        <w:gridCol w:w="2981"/>
        <w:gridCol w:w="1555"/>
        <w:gridCol w:w="1277"/>
        <w:gridCol w:w="1133"/>
        <w:gridCol w:w="994"/>
        <w:gridCol w:w="850"/>
        <w:gridCol w:w="850"/>
        <w:gridCol w:w="854"/>
        <w:gridCol w:w="850"/>
        <w:gridCol w:w="850"/>
        <w:gridCol w:w="854"/>
      </w:tblGrid>
      <w:tr>
        <w:trPr>
          <w:trHeight w:val="22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36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12</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13</w:t>
            </w:r>
          </w:p>
        </w:tc>
      </w:tr>
      <w:tr>
        <w:trPr>
          <w:trHeight w:val="21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106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00033400000000000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ООО «ИНВИТРО-Сибирь»</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107</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00923400000000000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33"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ООО «КДЛ ДОМОДЕДОВО- ТЕСТ»</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108</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00621600000000000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ООО Клиника «Неврология для всех»</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1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109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00029300000000000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ООО «М-Лайн»</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110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00621100000000000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ООО «Медицинский центр «ИнтерВзгляд»</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111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00620500000000000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ООО «Многопрофильный центр современной медицины «Евромед»</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1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112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00141900000000000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ООО «МРТ Экспресс»</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2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113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00323700000000000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ООО «НефроМед»</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114</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00620600000000000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ООО «Омский центр репродуктивной медицины»</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1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115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01344600000000000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ООО «Светлана»</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116</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00620400000000000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ООО «Фрезениус Медикал Кеа Омск»</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2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117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01274700000000000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ООО «Хеликс Новосибирск»</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1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118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00622200000000000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ООО «ЦЕНТР ЭКО»</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1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119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01086000000000000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ООО «Эвоген»</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120</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00187200000000000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ООО «Ядерные медицинские технологии»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835"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121</w:t>
            </w: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00619500000000000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Частное учреждение здравоохранения «Клиническая больница «РЖД-Медицина» города Омск»</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122</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«Бюро судебно- медицинской экспертизы»</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123</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«Детский легочно</w:t>
              <w:softHyphen/>
              <w:t>туберкулезный санаторий»</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124</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«Детский санаторий № 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22"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125</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«Детский санаторий №2»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126</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«Клинический противотуберкулезный диспансер № 4»</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29"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127</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«Клиническая психиатрическая больница имени Н.Н. Солодникова»</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634"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128</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«Медицинский информационно-аналитический центр»</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432" w:hRule="exact"/>
        </w:trPr>
        <w:tc>
          <w:tcPr>
            <w:tcBorders>
              <w:top w:val="single" w:sz="4"/>
              <w:left w:val="single" w:sz="4"/>
              <w:bottom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shd w:val="clear" w:color="auto" w:fill="auto"/>
                <w:lang w:val="ru-RU" w:eastAsia="ru-RU" w:bidi="ru-RU"/>
              </w:rPr>
              <w:t>129</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«Наркологический диспансер»</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right w:val="single" w:sz="4"/>
            </w:tcBorders>
            <w:shd w:val="clear" w:color="auto" w:fill="auto"/>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571"/>
        <w:gridCol w:w="2126"/>
        <w:gridCol w:w="2981"/>
        <w:gridCol w:w="1555"/>
        <w:gridCol w:w="1277"/>
        <w:gridCol w:w="1133"/>
        <w:gridCol w:w="994"/>
        <w:gridCol w:w="850"/>
        <w:gridCol w:w="850"/>
        <w:gridCol w:w="854"/>
        <w:gridCol w:w="850"/>
        <w:gridCol w:w="850"/>
        <w:gridCol w:w="854"/>
      </w:tblGrid>
      <w:tr>
        <w:trPr>
          <w:trHeight w:val="22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3</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4</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6</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7</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8</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9</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10</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11</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12</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13</w:t>
            </w:r>
          </w:p>
        </w:tc>
      </w:tr>
      <w:tr>
        <w:trPr>
          <w:trHeight w:val="427"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130</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«Территориальный центр медицины катастроф»</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16"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131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БУЗОО «Центр крови»</w:t>
            </w: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046"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132</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Казенное учреждение здравоохранения Омской области «Медицинский центр мобилизационных резервов «Резерв»</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042" w:hRule="exact"/>
        </w:trPr>
        <w:tc>
          <w:tcPr>
            <w:gridSpan w:val="3"/>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Итого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 в Омской области на 2026 год и на плановый период 2027 и 2028 годов</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82</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121</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66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58</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20</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6</w:t>
            </w:r>
          </w:p>
        </w:tc>
        <w:tc>
          <w:tcPr>
            <w:tcBorders>
              <w:top w:val="single" w:sz="4"/>
              <w:lef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7</w:t>
            </w:r>
          </w:p>
        </w:tc>
        <w:tc>
          <w:tcPr>
            <w:tcBorders>
              <w:top w:val="single" w:sz="4"/>
              <w:left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17</w:t>
            </w:r>
          </w:p>
        </w:tc>
      </w:tr>
      <w:tr>
        <w:trPr>
          <w:trHeight w:val="1262" w:hRule="exact"/>
        </w:trPr>
        <w:tc>
          <w:tcPr>
            <w:gridSpan w:val="3"/>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ru-RU" w:eastAsia="ru-RU" w:bidi="ru-RU"/>
              </w:rPr>
              <w:t>в том числе медицинских организаций, подведомственных федеральным органам исполнительной власти, которым Комиссией по разработке территориальной программы обязательного медицинского страхования Омской области распределяются объемы специализированной медицинской помощи в условиях круглосуточного и дневного стационаров</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0</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1</w:t>
            </w:r>
          </w:p>
        </w:tc>
        <w:tc>
          <w:tcPr>
            <w:tcBorders>
              <w:top w:val="single" w:sz="4"/>
              <w:left w:val="single" w:sz="4"/>
              <w:bottom w:val="single" w:sz="4"/>
              <w:right w:val="single" w:sz="4"/>
            </w:tcBorders>
            <w:shd w:val="clear" w:color="auto" w:fill="auto"/>
            <w:vAlign w:val="center"/>
          </w:tcPr>
          <w:p>
            <w:pPr>
              <w:pStyle w:val="Style23"/>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ru-RU" w:eastAsia="ru-RU" w:bidi="ru-RU"/>
              </w:rPr>
              <w:t>0</w:t>
            </w:r>
          </w:p>
        </w:tc>
      </w:tr>
    </w:tbl>
    <w:p>
      <w:pPr>
        <w:widowControl w:val="0"/>
        <w:spacing w:after="259" w:line="1" w:lineRule="exact"/>
      </w:pPr>
    </w:p>
    <w:p>
      <w:pPr>
        <w:pStyle w:val="Style4"/>
        <w:keepNext w:val="0"/>
        <w:keepLines w:val="0"/>
        <w:widowControl w:val="0"/>
        <w:shd w:val="clear" w:color="auto" w:fill="auto"/>
        <w:bidi w:val="0"/>
        <w:spacing w:before="0" w:after="0" w:line="240" w:lineRule="auto"/>
        <w:ind w:left="0" w:right="0" w:firstLine="560"/>
        <w:jc w:val="left"/>
        <w:sectPr>
          <w:headerReference w:type="default" r:id="rId45"/>
          <w:footnotePr>
            <w:pos w:val="pageBottom"/>
            <w:numFmt w:val="decimal"/>
            <w:numStart w:val="1"/>
            <w:numRestart w:val="continuous"/>
            <w15:footnoteColumns w:val="1"/>
          </w:footnotePr>
          <w:pgSz w:w="16840" w:h="11900" w:orient="landscape"/>
          <w:pgMar w:top="959" w:right="533" w:bottom="860" w:left="562" w:header="0" w:footer="432" w:gutter="0"/>
          <w:pgNumType w:start="2"/>
          <w:cols w:space="720"/>
          <w:noEndnote/>
          <w:rtlGutter w:val="0"/>
          <w:docGrid w:linePitch="360"/>
        </w:sectPr>
      </w:pPr>
      <w:r>
        <w:rPr>
          <w:color w:val="000000"/>
          <w:spacing w:val="0"/>
          <w:w w:val="100"/>
          <w:position w:val="0"/>
          <w:shd w:val="clear" w:color="auto" w:fill="auto"/>
          <w:lang w:val="ru-RU" w:eastAsia="ru-RU" w:bidi="ru-RU"/>
        </w:rPr>
        <w:t>* Заполняется знак отличия (1).</w:t>
      </w:r>
    </w:p>
    <w:p>
      <w:pPr>
        <w:pStyle w:val="Style4"/>
        <w:keepNext w:val="0"/>
        <w:keepLines w:val="0"/>
        <w:widowControl w:val="0"/>
        <w:shd w:val="clear" w:color="auto" w:fill="auto"/>
        <w:bidi w:val="0"/>
        <w:spacing w:before="0" w:after="320" w:line="240" w:lineRule="auto"/>
        <w:ind w:left="3780" w:right="0" w:firstLine="0"/>
        <w:jc w:val="right"/>
      </w:pPr>
      <w:r>
        <w:rPr>
          <w:color w:val="000000"/>
          <w:spacing w:val="0"/>
          <w:w w:val="100"/>
          <w:position w:val="0"/>
          <w:shd w:val="clear" w:color="auto" w:fill="auto"/>
          <w:lang w:val="ru-RU" w:eastAsia="ru-RU" w:bidi="ru-RU"/>
        </w:rPr>
        <w:t>Приложение № 11 к Территориальной программе государственных гарантий бесплатного оказания гражданам медицинской помощи в Омской области на 2026 год и на плановый период 2027 и 2028 годов</w:t>
      </w:r>
    </w:p>
    <w:p>
      <w:pPr>
        <w:pStyle w:val="Style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ПЕРЕЧЕНЬ</w:t>
      </w:r>
    </w:p>
    <w:p>
      <w:pPr>
        <w:pStyle w:val="Style4"/>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ru-RU" w:eastAsia="ru-RU" w:bidi="ru-RU"/>
        </w:rPr>
        <w:t>медицинских организаций, подведомственных Министерству здравоохранения</w:t>
        <w:br/>
        <w:t>Омской области, уполномоченных проводить врачебные комиссии в целях</w:t>
        <w:br/>
        <w:t>принятия решений о назначении незарегистрированных лекарственных</w:t>
        <w:br/>
        <w:t>препаратов для медицинского применения</w:t>
      </w:r>
    </w:p>
    <w:tbl>
      <w:tblPr>
        <w:tblOverlap w:val="never"/>
        <w:jc w:val="center"/>
        <w:tblLayout w:type="fixed"/>
      </w:tblPr>
      <w:tblGrid>
        <w:gridCol w:w="595"/>
        <w:gridCol w:w="9202"/>
      </w:tblGrid>
      <w:tr>
        <w:trPr>
          <w:trHeight w:val="658"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 п/п</w:t>
            </w:r>
          </w:p>
        </w:tc>
        <w:tc>
          <w:tcPr>
            <w:tcBorders>
              <w:top w:val="single" w:sz="4"/>
              <w:left w:val="single" w:sz="4"/>
              <w:righ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Наименование медицинской организации</w:t>
            </w:r>
          </w:p>
        </w:tc>
      </w:tr>
      <w:tr>
        <w:trPr>
          <w:trHeight w:val="653" w:hRule="exact"/>
        </w:trPr>
        <w:tc>
          <w:tcPr>
            <w:tcBorders>
              <w:top w:val="single" w:sz="4"/>
              <w:left w:val="single" w:sz="4"/>
            </w:tcBorders>
            <w:shd w:val="clear" w:color="auto" w:fill="auto"/>
            <w:vAlign w:val="top"/>
          </w:tcPr>
          <w:p>
            <w:pPr>
              <w:pStyle w:val="Style23"/>
              <w:keepNext w:val="0"/>
              <w:keepLines w:val="0"/>
              <w:widowControl w:val="0"/>
              <w:shd w:val="clear" w:color="auto" w:fill="auto"/>
              <w:bidi w:val="0"/>
              <w:spacing w:before="0" w:after="0" w:line="240" w:lineRule="auto"/>
              <w:ind w:left="0" w:right="0" w:firstLine="200"/>
              <w:jc w:val="left"/>
            </w:pPr>
            <w:r>
              <w:rPr>
                <w:color w:val="000000"/>
                <w:spacing w:val="0"/>
                <w:w w:val="100"/>
                <w:position w:val="0"/>
                <w:shd w:val="clear" w:color="auto" w:fill="auto"/>
                <w:lang w:val="ru-RU" w:eastAsia="ru-RU" w:bidi="ru-RU"/>
              </w:rPr>
              <w:t>1</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Бюджетное учреждение здравоохранения Омской области (далее - БУЗОО) «Клинический кардиологический диспансер»</w:t>
            </w:r>
          </w:p>
        </w:tc>
      </w:tr>
      <w:tr>
        <w:trPr>
          <w:trHeight w:val="33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pPr>
            <w:r>
              <w:rPr>
                <w:color w:val="000000"/>
                <w:spacing w:val="0"/>
                <w:w w:val="100"/>
                <w:position w:val="0"/>
                <w:shd w:val="clear" w:color="auto" w:fill="auto"/>
                <w:lang w:val="ru-RU" w:eastAsia="ru-RU" w:bidi="ru-RU"/>
              </w:rPr>
              <w:t>2</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БУЗОО «Клинический онкологический диспансер»</w:t>
            </w:r>
          </w:p>
        </w:tc>
      </w:tr>
      <w:tr>
        <w:trPr>
          <w:trHeight w:val="341" w:hRule="exact"/>
        </w:trPr>
        <w:tc>
          <w:tcPr>
            <w:tcBorders>
              <w:top w:val="single" w:sz="4"/>
              <w:lef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pPr>
            <w:r>
              <w:rPr>
                <w:color w:val="000000"/>
                <w:spacing w:val="0"/>
                <w:w w:val="100"/>
                <w:position w:val="0"/>
                <w:shd w:val="clear" w:color="auto" w:fill="auto"/>
                <w:lang w:val="ru-RU" w:eastAsia="ru-RU" w:bidi="ru-RU"/>
              </w:rPr>
              <w:t>3</w:t>
            </w:r>
          </w:p>
        </w:tc>
        <w:tc>
          <w:tcPr>
            <w:tcBorders>
              <w:top w:val="single" w:sz="4"/>
              <w:left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БУЗОО «Областная детская клиническая больница»</w:t>
            </w:r>
          </w:p>
        </w:tc>
      </w:tr>
      <w:tr>
        <w:trPr>
          <w:trHeight w:val="341" w:hRule="exact"/>
        </w:trPr>
        <w:tc>
          <w:tcPr>
            <w:tcBorders>
              <w:top w:val="single" w:sz="4"/>
              <w:left w:val="single" w:sz="4"/>
              <w:bottom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200"/>
              <w:jc w:val="left"/>
            </w:pPr>
            <w:r>
              <w:rPr>
                <w:color w:val="000000"/>
                <w:spacing w:val="0"/>
                <w:w w:val="100"/>
                <w:position w:val="0"/>
                <w:shd w:val="clear" w:color="auto" w:fill="auto"/>
                <w:lang w:val="ru-RU" w:eastAsia="ru-RU" w:bidi="ru-RU"/>
              </w:rPr>
              <w:t>4</w:t>
            </w:r>
          </w:p>
        </w:tc>
        <w:tc>
          <w:tcPr>
            <w:tcBorders>
              <w:top w:val="single" w:sz="4"/>
              <w:left w:val="single" w:sz="4"/>
              <w:bottom w:val="single" w:sz="4"/>
              <w:right w:val="single" w:sz="4"/>
            </w:tcBorders>
            <w:shd w:val="clear" w:color="auto" w:fill="auto"/>
            <w:vAlign w:val="bottom"/>
          </w:tcPr>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БУЗОО «Областная клиническая больница»</w:t>
            </w:r>
          </w:p>
        </w:tc>
      </w:tr>
    </w:tbl>
    <w:p>
      <w:pPr>
        <w:sectPr>
          <w:headerReference w:type="default" r:id="rId46"/>
          <w:footnotePr>
            <w:pos w:val="pageBottom"/>
            <w:numFmt w:val="decimal"/>
            <w:numStart w:val="1"/>
            <w:numRestart w:val="continuous"/>
            <w15:footnoteColumns w:val="1"/>
          </w:footnotePr>
          <w:pgSz w:w="11900" w:h="16840"/>
          <w:pgMar w:top="1134" w:right="692" w:bottom="774" w:left="1412" w:header="706" w:footer="346" w:gutter="0"/>
          <w:pgNumType w:start="240"/>
          <w:cols w:space="720"/>
          <w:noEndnote/>
          <w:rtlGutter w:val="0"/>
          <w:docGrid w:linePitch="360"/>
        </w:sectPr>
      </w:pPr>
    </w:p>
    <w:p>
      <w:pPr>
        <w:pStyle w:val="Style4"/>
        <w:keepNext w:val="0"/>
        <w:keepLines w:val="0"/>
        <w:widowControl w:val="0"/>
        <w:shd w:val="clear" w:color="auto" w:fill="auto"/>
        <w:bidi w:val="0"/>
        <w:spacing w:before="0" w:after="640" w:line="240" w:lineRule="auto"/>
        <w:ind w:left="3780" w:right="0" w:firstLine="0"/>
        <w:jc w:val="right"/>
      </w:pPr>
      <w:r>
        <w:rPr>
          <w:color w:val="000000"/>
          <w:spacing w:val="0"/>
          <w:w w:val="100"/>
          <w:position w:val="0"/>
          <w:shd w:val="clear" w:color="auto" w:fill="auto"/>
          <w:lang w:val="ru-RU" w:eastAsia="ru-RU" w:bidi="ru-RU"/>
        </w:rPr>
        <w:t>Приложение № 12 к Территориальной программе государственных гарантий бесплатного оказания гражданам медицинской помощи в Омской области на 2026 год и на плановый период 2027 и 2028 годов</w:t>
      </w:r>
    </w:p>
    <w:p>
      <w:pPr>
        <w:pStyle w:val="Style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ru-RU" w:eastAsia="ru-RU" w:bidi="ru-RU"/>
        </w:rPr>
        <w:t>ПОРЯДОК</w:t>
      </w:r>
    </w:p>
    <w:p>
      <w:pPr>
        <w:pStyle w:val="Style4"/>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ru-RU" w:eastAsia="ru-RU" w:bidi="ru-RU"/>
        </w:rPr>
        <w:t>обеспечения граждан, в том числе детей, в рамках оказания паллиативной</w:t>
        <w:br/>
        <w:t>медицинской помощи для использования на дому медицинскими изделиями,</w:t>
        <w:br/>
        <w:t>предназначенными для поддержания функций органов и систем организма</w:t>
        <w:br/>
        <w:t>человека, а также наркотическими лекарственными препаратами для</w:t>
        <w:br/>
        <w:t>медицинского применения и психотропными лекарственными</w:t>
        <w:br/>
        <w:t>препаратами для медицинского применения</w:t>
        <w:br/>
        <w:t>при посещениях на дому</w:t>
      </w:r>
    </w:p>
    <w:p>
      <w:pPr>
        <w:pStyle w:val="Style4"/>
        <w:keepNext w:val="0"/>
        <w:keepLines w:val="0"/>
        <w:widowControl w:val="0"/>
        <w:numPr>
          <w:ilvl w:val="0"/>
          <w:numId w:val="151"/>
        </w:numPr>
        <w:shd w:val="clear" w:color="auto" w:fill="auto"/>
        <w:tabs>
          <w:tab w:pos="1298" w:val="left"/>
        </w:tabs>
        <w:bidi w:val="0"/>
        <w:spacing w:before="0" w:after="0" w:line="240" w:lineRule="auto"/>
        <w:ind w:left="260" w:right="0" w:firstLine="720"/>
        <w:jc w:val="both"/>
      </w:pPr>
      <w:r>
        <w:rPr>
          <w:color w:val="000000"/>
          <w:spacing w:val="0"/>
          <w:w w:val="100"/>
          <w:position w:val="0"/>
          <w:shd w:val="clear" w:color="auto" w:fill="auto"/>
          <w:lang w:val="ru-RU" w:eastAsia="ru-RU" w:bidi="ru-RU"/>
        </w:rPr>
        <w:t>Настоящий Порядок определяет правила обеспечения граждан, в том числе детей (далее - граждане),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(далее - медицинские изделия), а также наркотическими лекарственными препаратами для медицинского применения и психотропными лекарственными препаратами для медицинского применения (далее - лекарственные препараты) при посещениях на дому.</w:t>
      </w:r>
    </w:p>
    <w:p>
      <w:pPr>
        <w:pStyle w:val="Style4"/>
        <w:keepNext w:val="0"/>
        <w:keepLines w:val="0"/>
        <w:widowControl w:val="0"/>
        <w:numPr>
          <w:ilvl w:val="0"/>
          <w:numId w:val="151"/>
        </w:numPr>
        <w:shd w:val="clear" w:color="auto" w:fill="auto"/>
        <w:tabs>
          <w:tab w:pos="1298" w:val="left"/>
        </w:tabs>
        <w:bidi w:val="0"/>
        <w:spacing w:before="0" w:after="0" w:line="240" w:lineRule="auto"/>
        <w:ind w:left="260" w:right="0" w:firstLine="720"/>
        <w:jc w:val="both"/>
      </w:pPr>
      <w:r>
        <w:rPr>
          <w:color w:val="000000"/>
          <w:spacing w:val="0"/>
          <w:w w:val="100"/>
          <w:position w:val="0"/>
          <w:shd w:val="clear" w:color="auto" w:fill="auto"/>
          <w:lang w:val="ru-RU" w:eastAsia="ru-RU" w:bidi="ru-RU"/>
        </w:rPr>
        <w:t>Обеспечение граждан медицинскими изделиями в рамках оказания паллиативной медицинской помощи для использования на дому осуществляют медицинские организации, участвующие в реализации Территориальной программы государственных гарантий бесплатного оказания гражданам медицинской помощи в Омской области на 2026 год и на плановый период 2027 и 2028 годов, оказывающие гражданам паллиативную медицинскую помощь в соответствии с утвержденным государственным заданием на оказание государственных услуг (далее - медицинские организации), в которых граждане получают паллиативную медицинскую помощь в амбулаторных условиях.</w:t>
      </w:r>
    </w:p>
    <w:p>
      <w:pPr>
        <w:pStyle w:val="Style4"/>
        <w:keepNext w:val="0"/>
        <w:keepLines w:val="0"/>
        <w:widowControl w:val="0"/>
        <w:numPr>
          <w:ilvl w:val="0"/>
          <w:numId w:val="151"/>
        </w:numPr>
        <w:shd w:val="clear" w:color="auto" w:fill="auto"/>
        <w:tabs>
          <w:tab w:pos="1298" w:val="left"/>
        </w:tabs>
        <w:bidi w:val="0"/>
        <w:spacing w:before="0" w:after="0" w:line="240" w:lineRule="auto"/>
        <w:ind w:left="260" w:right="0" w:firstLine="720"/>
        <w:jc w:val="both"/>
      </w:pPr>
      <w:r>
        <w:rPr>
          <w:color w:val="000000"/>
          <w:spacing w:val="0"/>
          <w:w w:val="100"/>
          <w:position w:val="0"/>
          <w:shd w:val="clear" w:color="auto" w:fill="auto"/>
          <w:lang w:val="ru-RU" w:eastAsia="ru-RU" w:bidi="ru-RU"/>
        </w:rPr>
        <w:t>В рамках оказания паллиативной медицинской помощи для использования на дому гражданам предоставляются медицинские изделия, включенные в перечень, утвержденный Министерством здравоохранения Российской Федерации (далее - федеральный перечень).</w:t>
      </w:r>
    </w:p>
    <w:p>
      <w:pPr>
        <w:pStyle w:val="Style4"/>
        <w:keepNext w:val="0"/>
        <w:keepLines w:val="0"/>
        <w:widowControl w:val="0"/>
        <w:numPr>
          <w:ilvl w:val="0"/>
          <w:numId w:val="151"/>
        </w:numPr>
        <w:shd w:val="clear" w:color="auto" w:fill="auto"/>
        <w:tabs>
          <w:tab w:pos="1298" w:val="left"/>
        </w:tabs>
        <w:bidi w:val="0"/>
        <w:spacing w:before="0" w:after="480" w:line="240" w:lineRule="auto"/>
        <w:ind w:left="260" w:right="0" w:firstLine="720"/>
        <w:jc w:val="both"/>
        <w:sectPr>
          <w:footnotePr>
            <w:pos w:val="pageBottom"/>
            <w:numFmt w:val="decimal"/>
            <w:numStart w:val="1"/>
            <w:numRestart w:val="continuous"/>
            <w15:footnoteColumns w:val="1"/>
          </w:footnotePr>
          <w:pgSz w:w="11900" w:h="16840"/>
          <w:pgMar w:top="1129" w:right="692" w:bottom="1196" w:left="1412" w:header="701" w:footer="768" w:gutter="0"/>
          <w:cols w:space="720"/>
          <w:noEndnote/>
          <w:rtlGutter w:val="0"/>
          <w:docGrid w:linePitch="360"/>
        </w:sectPr>
      </w:pPr>
      <w:r>
        <w:rPr>
          <w:color w:val="000000"/>
          <w:spacing w:val="0"/>
          <w:w w:val="100"/>
          <w:position w:val="0"/>
          <w:shd w:val="clear" w:color="auto" w:fill="auto"/>
          <w:lang w:val="ru-RU" w:eastAsia="ru-RU" w:bidi="ru-RU"/>
        </w:rPr>
        <w:t>Медицинская организация в соответствии с федеральным перечнем и на основании сведений об имуществе, закрепленном за ней на праве оперативного управления, по согласованию с Министерством здравоохранения Омской области формирует и ведет перечень медицинских изделий, предоставляемых соответствующей медицинской организацией гражданам в рамках оказания паллиативной медицинской помощи для</w:t>
      </w:r>
    </w:p>
    <w:p>
      <w:pPr>
        <w:pStyle w:val="Style4"/>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ru-RU" w:eastAsia="ru-RU" w:bidi="ru-RU"/>
        </w:rPr>
        <w:t>использования на дому.</w:t>
      </w:r>
    </w:p>
    <w:p>
      <w:pPr>
        <w:pStyle w:val="Style4"/>
        <w:keepNext w:val="0"/>
        <w:keepLines w:val="0"/>
        <w:widowControl w:val="0"/>
        <w:numPr>
          <w:ilvl w:val="0"/>
          <w:numId w:val="151"/>
        </w:numPr>
        <w:shd w:val="clear" w:color="auto" w:fill="auto"/>
        <w:tabs>
          <w:tab w:pos="1305" w:val="left"/>
        </w:tabs>
        <w:bidi w:val="0"/>
        <w:spacing w:before="0" w:after="0" w:line="240" w:lineRule="auto"/>
        <w:ind w:left="260" w:right="0" w:firstLine="720"/>
        <w:jc w:val="both"/>
      </w:pPr>
      <w:r>
        <w:rPr>
          <w:color w:val="000000"/>
          <w:spacing w:val="0"/>
          <w:w w:val="100"/>
          <w:position w:val="0"/>
          <w:shd w:val="clear" w:color="auto" w:fill="auto"/>
          <w:lang w:val="ru-RU" w:eastAsia="ru-RU" w:bidi="ru-RU"/>
        </w:rPr>
        <w:t>Медицинские организации передают гражданину (его законному представителю) медицинские изделия в порядке, установленном Министерством здравоохранения Российской Федерации.</w:t>
      </w:r>
    </w:p>
    <w:p>
      <w:pPr>
        <w:pStyle w:val="Style4"/>
        <w:keepNext w:val="0"/>
        <w:keepLines w:val="0"/>
        <w:widowControl w:val="0"/>
        <w:numPr>
          <w:ilvl w:val="0"/>
          <w:numId w:val="151"/>
        </w:numPr>
        <w:shd w:val="clear" w:color="auto" w:fill="auto"/>
        <w:tabs>
          <w:tab w:pos="1305" w:val="left"/>
        </w:tabs>
        <w:bidi w:val="0"/>
        <w:spacing w:before="0" w:after="0" w:line="240" w:lineRule="auto"/>
        <w:ind w:left="260" w:right="0" w:firstLine="720"/>
        <w:jc w:val="both"/>
      </w:pPr>
      <w:r>
        <w:rPr>
          <w:color w:val="000000"/>
          <w:spacing w:val="0"/>
          <w:w w:val="100"/>
          <w:position w:val="0"/>
          <w:shd w:val="clear" w:color="auto" w:fill="auto"/>
          <w:lang w:val="ru-RU" w:eastAsia="ru-RU" w:bidi="ru-RU"/>
        </w:rPr>
        <w:t>Медицинские организации при передаче гражданину (его законному представителю) медицинских изделий осуществляют их проверку, подбор режима работы медицинских изделий (при необходимости), обучение гражданина (его законного представителя) навыкам эксплуатации медицинских изделий (при необходимости), обучение законного представителя гражданина навыкам ухода за гражданином (при необходимости), составляют индивидуальный план наблюдения гражданина (далее - индивидуальный план), один экземпляр которого выдается на руки гражданину (его законному представителю), а другой приобщается к медицинской документации гражданина в медицинской организации.</w:t>
      </w:r>
    </w:p>
    <w:p>
      <w:pPr>
        <w:pStyle w:val="Style4"/>
        <w:keepNext w:val="0"/>
        <w:keepLines w:val="0"/>
        <w:widowControl w:val="0"/>
        <w:numPr>
          <w:ilvl w:val="0"/>
          <w:numId w:val="151"/>
        </w:numPr>
        <w:shd w:val="clear" w:color="auto" w:fill="auto"/>
        <w:tabs>
          <w:tab w:pos="1305" w:val="left"/>
        </w:tabs>
        <w:bidi w:val="0"/>
        <w:spacing w:before="0" w:after="0" w:line="240" w:lineRule="auto"/>
        <w:ind w:left="260" w:right="0" w:firstLine="720"/>
        <w:jc w:val="both"/>
      </w:pPr>
      <w:r>
        <w:rPr>
          <w:color w:val="000000"/>
          <w:spacing w:val="0"/>
          <w:w w:val="100"/>
          <w:position w:val="0"/>
          <w:shd w:val="clear" w:color="auto" w:fill="auto"/>
          <w:lang w:val="ru-RU" w:eastAsia="ru-RU" w:bidi="ru-RU"/>
        </w:rPr>
        <w:t>Наблюдение за гражданином, обеспеченным медицинскими изделиями, осуществляется медицинской организацией, выбранной гражданином для оказания первичной медико-санитарной помощи (далее - медицинская организация первичного звена), на основе взаимодействия медицинских работников указанной медицинской организации и медицинских организаций, передавших гражданину (его законному представителю) медицинские изделия.</w:t>
      </w:r>
    </w:p>
    <w:p>
      <w:pPr>
        <w:pStyle w:val="Style4"/>
        <w:keepNext w:val="0"/>
        <w:keepLines w:val="0"/>
        <w:widowControl w:val="0"/>
        <w:numPr>
          <w:ilvl w:val="0"/>
          <w:numId w:val="151"/>
        </w:numPr>
        <w:shd w:val="clear" w:color="auto" w:fill="auto"/>
        <w:tabs>
          <w:tab w:pos="1305" w:val="left"/>
        </w:tabs>
        <w:bidi w:val="0"/>
        <w:spacing w:before="0" w:after="0" w:line="240" w:lineRule="auto"/>
        <w:ind w:left="260" w:right="0" w:firstLine="720"/>
        <w:jc w:val="both"/>
      </w:pPr>
      <w:r>
        <w:rPr>
          <w:color w:val="000000"/>
          <w:spacing w:val="0"/>
          <w:w w:val="100"/>
          <w:position w:val="0"/>
          <w:shd w:val="clear" w:color="auto" w:fill="auto"/>
          <w:lang w:val="ru-RU" w:eastAsia="ru-RU" w:bidi="ru-RU"/>
        </w:rPr>
        <w:t>Периодичность посещения на дому гражданина, обеспеченного медицинскими изделиями, устанавливается врачебной комиссией медицинской организации первичного звена с учетом индивидуального плана.</w:t>
      </w:r>
    </w:p>
    <w:p>
      <w:pPr>
        <w:pStyle w:val="Style4"/>
        <w:keepNext w:val="0"/>
        <w:keepLines w:val="0"/>
        <w:widowControl w:val="0"/>
        <w:numPr>
          <w:ilvl w:val="0"/>
          <w:numId w:val="151"/>
        </w:numPr>
        <w:shd w:val="clear" w:color="auto" w:fill="auto"/>
        <w:tabs>
          <w:tab w:pos="1305" w:val="left"/>
        </w:tabs>
        <w:bidi w:val="0"/>
        <w:spacing w:before="0" w:after="0" w:line="240" w:lineRule="auto"/>
        <w:ind w:left="260" w:right="0" w:firstLine="720"/>
        <w:jc w:val="both"/>
      </w:pPr>
      <w:r>
        <w:rPr>
          <w:color w:val="000000"/>
          <w:spacing w:val="0"/>
          <w:w w:val="100"/>
          <w:position w:val="0"/>
          <w:shd w:val="clear" w:color="auto" w:fill="auto"/>
          <w:lang w:val="ru-RU" w:eastAsia="ru-RU" w:bidi="ru-RU"/>
        </w:rPr>
        <w:t>Медицинские изделия, предоставленные гражданам в соответствии с настоящим Порядком, не могут быть использованы медицинскими работниками выездных бригад скорой медицинской помощи для оказания скорой медицинской помощи в экстренной и неотложной формах.</w:t>
      </w:r>
    </w:p>
    <w:p>
      <w:pPr>
        <w:pStyle w:val="Style4"/>
        <w:keepNext w:val="0"/>
        <w:keepLines w:val="0"/>
        <w:widowControl w:val="0"/>
        <w:numPr>
          <w:ilvl w:val="0"/>
          <w:numId w:val="151"/>
        </w:numPr>
        <w:shd w:val="clear" w:color="auto" w:fill="auto"/>
        <w:tabs>
          <w:tab w:pos="1432" w:val="left"/>
        </w:tabs>
        <w:bidi w:val="0"/>
        <w:spacing w:before="0" w:after="0" w:line="240" w:lineRule="auto"/>
        <w:ind w:left="260" w:right="0" w:firstLine="720"/>
        <w:jc w:val="both"/>
      </w:pPr>
      <w:r>
        <w:rPr>
          <w:color w:val="000000"/>
          <w:spacing w:val="0"/>
          <w:w w:val="100"/>
          <w:position w:val="0"/>
          <w:shd w:val="clear" w:color="auto" w:fill="auto"/>
          <w:lang w:val="ru-RU" w:eastAsia="ru-RU" w:bidi="ru-RU"/>
        </w:rPr>
        <w:t>Стоимость медицинских изделий, включенных в федеральный перечень, приобретенных гражданином (его законным представителем), не возмещается.</w:t>
      </w:r>
    </w:p>
    <w:p>
      <w:pPr>
        <w:pStyle w:val="Style4"/>
        <w:keepNext w:val="0"/>
        <w:keepLines w:val="0"/>
        <w:widowControl w:val="0"/>
        <w:numPr>
          <w:ilvl w:val="0"/>
          <w:numId w:val="151"/>
        </w:numPr>
        <w:shd w:val="clear" w:color="auto" w:fill="auto"/>
        <w:tabs>
          <w:tab w:pos="1432" w:val="left"/>
        </w:tabs>
        <w:bidi w:val="0"/>
        <w:spacing w:before="0" w:after="0" w:line="240" w:lineRule="auto"/>
        <w:ind w:left="260" w:right="0" w:firstLine="720"/>
        <w:jc w:val="both"/>
      </w:pPr>
      <w:r>
        <w:rPr>
          <w:color w:val="000000"/>
          <w:spacing w:val="0"/>
          <w:w w:val="100"/>
          <w:position w:val="0"/>
          <w:shd w:val="clear" w:color="auto" w:fill="auto"/>
          <w:lang w:val="ru-RU" w:eastAsia="ru-RU" w:bidi="ru-RU"/>
        </w:rPr>
        <w:t>В течение пяти рабочих дней после окончания эксплуатации медицинские изделия, подлежащие дальнейшему использованию, возвращаются гражданином (его законным представителем) по акту в медицинскую организацию, предоставившую медицинские изделия.</w:t>
      </w:r>
    </w:p>
    <w:p>
      <w:pPr>
        <w:pStyle w:val="Style4"/>
        <w:keepNext w:val="0"/>
        <w:keepLines w:val="0"/>
        <w:widowControl w:val="0"/>
        <w:numPr>
          <w:ilvl w:val="0"/>
          <w:numId w:val="151"/>
        </w:numPr>
        <w:shd w:val="clear" w:color="auto" w:fill="auto"/>
        <w:tabs>
          <w:tab w:pos="1432" w:val="left"/>
        </w:tabs>
        <w:bidi w:val="0"/>
        <w:spacing w:before="0" w:after="0" w:line="240" w:lineRule="auto"/>
        <w:ind w:left="260" w:right="0" w:firstLine="720"/>
        <w:jc w:val="both"/>
      </w:pPr>
      <w:r>
        <w:rPr>
          <w:color w:val="000000"/>
          <w:spacing w:val="0"/>
          <w:w w:val="100"/>
          <w:position w:val="0"/>
          <w:shd w:val="clear" w:color="auto" w:fill="auto"/>
          <w:lang w:val="ru-RU" w:eastAsia="ru-RU" w:bidi="ru-RU"/>
        </w:rPr>
        <w:t>Обеспечение граждан лекарственными препаратами в рамках оказания паллиативной медицинской помощи при посещениях на дому осуществляется медицинскими организациями, имеющими лицензию на осуществление деятельности по обороту наркотических средств, психотропных веществ и их прекурсоров, культивированию наркосодержащих растений (далее - уполномоченная медицинская организация).</w:t>
      </w:r>
    </w:p>
    <w:p>
      <w:pPr>
        <w:pStyle w:val="Style4"/>
        <w:keepNext w:val="0"/>
        <w:keepLines w:val="0"/>
        <w:widowControl w:val="0"/>
        <w:numPr>
          <w:ilvl w:val="0"/>
          <w:numId w:val="151"/>
        </w:numPr>
        <w:shd w:val="clear" w:color="auto" w:fill="auto"/>
        <w:tabs>
          <w:tab w:pos="1442" w:val="left"/>
        </w:tabs>
        <w:bidi w:val="0"/>
        <w:spacing w:before="0" w:after="0" w:line="240" w:lineRule="auto"/>
        <w:ind w:left="260" w:right="0" w:firstLine="740"/>
        <w:jc w:val="both"/>
      </w:pPr>
      <w:r>
        <w:rPr>
          <w:color w:val="000000"/>
          <w:spacing w:val="0"/>
          <w:w w:val="100"/>
          <w:position w:val="0"/>
          <w:shd w:val="clear" w:color="auto" w:fill="auto"/>
          <w:lang w:val="ru-RU" w:eastAsia="ru-RU" w:bidi="ru-RU"/>
        </w:rPr>
        <w:t>Лекарственные препараты назначаются гражданам медицинским работником уполномоченной медицинской организации в порядке, установленном федеральным законодательством.</w:t>
      </w:r>
    </w:p>
    <w:p>
      <w:pPr>
        <w:pStyle w:val="Style4"/>
        <w:keepNext w:val="0"/>
        <w:keepLines w:val="0"/>
        <w:widowControl w:val="0"/>
        <w:numPr>
          <w:ilvl w:val="0"/>
          <w:numId w:val="151"/>
        </w:numPr>
        <w:shd w:val="clear" w:color="auto" w:fill="auto"/>
        <w:tabs>
          <w:tab w:pos="1432" w:val="left"/>
        </w:tabs>
        <w:bidi w:val="0"/>
        <w:spacing w:before="0" w:after="0" w:line="240" w:lineRule="auto"/>
        <w:ind w:left="260" w:right="0" w:firstLine="740"/>
        <w:jc w:val="both"/>
      </w:pPr>
      <w:r>
        <w:rPr>
          <w:color w:val="000000"/>
          <w:spacing w:val="0"/>
          <w:w w:val="100"/>
          <w:position w:val="0"/>
          <w:shd w:val="clear" w:color="auto" w:fill="auto"/>
          <w:lang w:val="ru-RU" w:eastAsia="ru-RU" w:bidi="ru-RU"/>
        </w:rPr>
        <w:t>Выдача гражданам (их законным представителям) лекарственных препаратов при посещении на дому осуществляется в объеме, не превышающем суточную потребность в лекарственных препаратах.</w:t>
      </w:r>
    </w:p>
    <w:p>
      <w:pPr>
        <w:pStyle w:val="Style4"/>
        <w:keepNext w:val="0"/>
        <w:keepLines w:val="0"/>
        <w:widowControl w:val="0"/>
        <w:numPr>
          <w:ilvl w:val="0"/>
          <w:numId w:val="151"/>
        </w:numPr>
        <w:shd w:val="clear" w:color="auto" w:fill="auto"/>
        <w:tabs>
          <w:tab w:pos="1432" w:val="left"/>
        </w:tabs>
        <w:bidi w:val="0"/>
        <w:spacing w:before="0" w:after="0" w:line="240" w:lineRule="auto"/>
        <w:ind w:left="260" w:right="0" w:firstLine="740"/>
        <w:jc w:val="both"/>
      </w:pPr>
      <w:r>
        <w:rPr>
          <w:color w:val="000000"/>
          <w:spacing w:val="0"/>
          <w:w w:val="100"/>
          <w:position w:val="0"/>
          <w:shd w:val="clear" w:color="auto" w:fill="auto"/>
          <w:lang w:val="ru-RU" w:eastAsia="ru-RU" w:bidi="ru-RU"/>
        </w:rPr>
        <w:t>Непосредственное введение лекарственных препаратов гражданину осуществляется медицинским работником уполномоченной медицинской организации.</w:t>
      </w:r>
    </w:p>
    <w:sectPr>
      <w:headerReference w:type="default" r:id="rId47"/>
      <w:footnotePr>
        <w:pos w:val="pageBottom"/>
        <w:numFmt w:val="decimal"/>
        <w:numStart w:val="1"/>
        <w:numRestart w:val="continuous"/>
        <w15:footnoteColumns w:val="1"/>
      </w:footnotePr>
      <w:pgSz w:w="11900" w:h="16840"/>
      <w:pgMar w:top="1129" w:right="692" w:bottom="1196" w:left="1412" w:header="0" w:footer="768" w:gutter="0"/>
      <w:pgNumType w:start="2"/>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 w:id="2">
    <w:p>
      <w:pPr>
        <w:pStyle w:val="Style2"/>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vertAlign w:val="superscript"/>
          <w:lang w:val="ru-RU" w:eastAsia="ru-RU" w:bidi="ru-RU"/>
        </w:rPr>
        <w:footnoteRef/>
      </w:r>
      <w:r>
        <w:rPr>
          <w:color w:val="000000"/>
          <w:spacing w:val="0"/>
          <w:w w:val="100"/>
          <w:position w:val="0"/>
          <w:shd w:val="clear" w:color="auto" w:fill="auto"/>
          <w:lang w:val="ru-RU" w:eastAsia="ru-RU" w:bidi="ru-RU"/>
        </w:rPr>
        <w:t xml:space="preserve"> Для расчета подушевых нормативов финансирования территориальной программы ОМС за счет средств ОМС используются данные территориального фонда ОМС Омской области о численности застрахованного населения Омской области по состоянию на 1 января 2025 года. В соответствии с указанными данными численность застрахованного населения Омской области на 1 января 2025 года составила 1 857,549 тыс. человек.</w:t>
      </w:r>
    </w:p>
  </w:footnote>
  <w:footnote w:id="3">
    <w:p>
      <w:pPr>
        <w:pStyle w:val="Style2"/>
        <w:keepNext w:val="0"/>
        <w:keepLines w:val="0"/>
        <w:widowControl w:val="0"/>
        <w:shd w:val="clear" w:color="auto" w:fill="auto"/>
        <w:bidi w:val="0"/>
        <w:spacing w:before="0" w:after="0" w:line="240" w:lineRule="auto"/>
        <w:ind w:left="0" w:right="0" w:firstLine="700"/>
        <w:jc w:val="left"/>
      </w:pPr>
      <w:r>
        <w:rPr>
          <w:color w:val="000000"/>
          <w:spacing w:val="0"/>
          <w:w w:val="100"/>
          <w:position w:val="0"/>
          <w:shd w:val="clear" w:color="auto" w:fill="auto"/>
          <w:vertAlign w:val="superscript"/>
          <w:lang w:val="ru-RU" w:eastAsia="ru-RU" w:bidi="ru-RU"/>
        </w:rPr>
        <w:footnoteRef/>
      </w:r>
      <w:r>
        <w:rPr>
          <w:color w:val="000000"/>
          <w:spacing w:val="0"/>
          <w:w w:val="100"/>
          <w:position w:val="0"/>
          <w:shd w:val="clear" w:color="auto" w:fill="auto"/>
          <w:lang w:val="ru-RU" w:eastAsia="ru-RU" w:bidi="ru-RU"/>
        </w:rPr>
        <w:t xml:space="preserve"> Включены в норматив объема первичной медико-санитарной помощи в амбулаторных условиях в случае включения</w:t>
      </w:r>
    </w:p>
  </w:footnote>
  <w:footnote w:id="4">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ru-RU" w:eastAsia="ru-RU" w:bidi="ru-RU"/>
        </w:rPr>
        <w:t>паллиативной медицинской помощи в территориальную программу ОМС сверх базовой программы ОМС с соответствующими платежами субъекта Российской Федерации.</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1" behindDoc="1" locked="0" layoutInCell="1" allowOverlap="1">
              <wp:simplePos x="0" y="0"/>
              <wp:positionH relativeFrom="page">
                <wp:posOffset>3959860</wp:posOffset>
              </wp:positionH>
              <wp:positionV relativeFrom="page">
                <wp:posOffset>491490</wp:posOffset>
              </wp:positionV>
              <wp:extent cx="149225" cy="125095"/>
              <wp:wrapNone/>
              <wp:docPr id="9" name="Shape 9"/>
              <a:graphic xmlns:a="http://schemas.openxmlformats.org/drawingml/2006/main">
                <a:graphicData uri="http://schemas.microsoft.com/office/word/2010/wordprocessingShape">
                  <wps:wsp>
                    <wps:cNvSpPr txBox="1"/>
                    <wps:spPr>
                      <a:xfrm>
                        <a:ext cx="149225" cy="125095"/>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rPr>
                              <w:sz w:val="28"/>
                              <w:szCs w:val="28"/>
                            </w:rPr>
                          </w:pPr>
                          <w:fldSimple w:instr=" PAGE \* MERGEFORMAT ">
                            <w:r>
                              <w:rPr>
                                <w:color w:val="000000"/>
                                <w:spacing w:val="0"/>
                                <w:w w:val="100"/>
                                <w:position w:val="0"/>
                                <w:sz w:val="28"/>
                                <w:szCs w:val="28"/>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35" type="#_x0000_t202" style="position:absolute;margin-left:311.80000000000001pt;margin-top:38.700000000000003pt;width:11.75pt;height:9.8499999999999996pt;z-index:-188744062;mso-wrap-style:none;mso-wrap-distance-left:0;mso-wrap-distance-right:0;mso-position-horizontal-relative:page;mso-position-vertical-relative:page" wrapcoords="0 0" filled="f" stroked="f">
              <v:textbox style="mso-fit-shape-to-text:t" inset="0,0,0,0">
                <w:txbxContent>
                  <w:p>
                    <w:pPr>
                      <w:pStyle w:val="Style15"/>
                      <w:keepNext w:val="0"/>
                      <w:keepLines w:val="0"/>
                      <w:widowControl w:val="0"/>
                      <w:shd w:val="clear" w:color="auto" w:fill="auto"/>
                      <w:bidi w:val="0"/>
                      <w:spacing w:before="0" w:after="0" w:line="240" w:lineRule="auto"/>
                      <w:ind w:left="0" w:right="0" w:firstLine="0"/>
                      <w:jc w:val="left"/>
                      <w:rPr>
                        <w:sz w:val="28"/>
                        <w:szCs w:val="28"/>
                      </w:rPr>
                    </w:pPr>
                    <w:fldSimple w:instr=" PAGE \* MERGEFORMAT ">
                      <w:r>
                        <w:rPr>
                          <w:color w:val="000000"/>
                          <w:spacing w:val="0"/>
                          <w:w w:val="100"/>
                          <w:position w:val="0"/>
                          <w:sz w:val="28"/>
                          <w:szCs w:val="28"/>
                          <w:shd w:val="clear" w:color="auto" w:fill="auto"/>
                          <w:lang w:val="ru-RU" w:eastAsia="ru-RU" w:bidi="ru-RU"/>
                        </w:rPr>
                        <w:t>#</w:t>
                      </w:r>
                    </w:fldSimple>
                  </w:p>
                </w:txbxContent>
              </v:textbox>
              <w10:wrap anchorx="page" anchory="page"/>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3" behindDoc="1" locked="0" layoutInCell="1" allowOverlap="1">
              <wp:simplePos x="0" y="0"/>
              <wp:positionH relativeFrom="page">
                <wp:posOffset>3959860</wp:posOffset>
              </wp:positionH>
              <wp:positionV relativeFrom="page">
                <wp:posOffset>491490</wp:posOffset>
              </wp:positionV>
              <wp:extent cx="149225" cy="125095"/>
              <wp:wrapNone/>
              <wp:docPr id="21" name="Shape 21"/>
              <a:graphic xmlns:a="http://schemas.openxmlformats.org/drawingml/2006/main">
                <a:graphicData uri="http://schemas.microsoft.com/office/word/2010/wordprocessingShape">
                  <wps:wsp>
                    <wps:cNvSpPr txBox="1"/>
                    <wps:spPr>
                      <a:xfrm>
                        <a:ext cx="149225" cy="125095"/>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rPr>
                              <w:sz w:val="28"/>
                              <w:szCs w:val="28"/>
                            </w:rPr>
                          </w:pPr>
                          <w:fldSimple w:instr=" PAGE \* MERGEFORMAT ">
                            <w:r>
                              <w:rPr>
                                <w:color w:val="000000"/>
                                <w:spacing w:val="0"/>
                                <w:w w:val="100"/>
                                <w:position w:val="0"/>
                                <w:sz w:val="28"/>
                                <w:szCs w:val="28"/>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47" type="#_x0000_t202" style="position:absolute;margin-left:311.80000000000001pt;margin-top:38.700000000000003pt;width:11.75pt;height:9.8499999999999996pt;z-index:-188744050;mso-wrap-style:none;mso-wrap-distance-left:0;mso-wrap-distance-right:0;mso-position-horizontal-relative:page;mso-position-vertical-relative:page" wrapcoords="0 0" filled="f" stroked="f">
              <v:textbox style="mso-fit-shape-to-text:t" inset="0,0,0,0">
                <w:txbxContent>
                  <w:p>
                    <w:pPr>
                      <w:pStyle w:val="Style15"/>
                      <w:keepNext w:val="0"/>
                      <w:keepLines w:val="0"/>
                      <w:widowControl w:val="0"/>
                      <w:shd w:val="clear" w:color="auto" w:fill="auto"/>
                      <w:bidi w:val="0"/>
                      <w:spacing w:before="0" w:after="0" w:line="240" w:lineRule="auto"/>
                      <w:ind w:left="0" w:right="0" w:firstLine="0"/>
                      <w:jc w:val="left"/>
                      <w:rPr>
                        <w:sz w:val="28"/>
                        <w:szCs w:val="28"/>
                      </w:rPr>
                    </w:pPr>
                    <w:fldSimple w:instr=" PAGE \* MERGEFORMAT ">
                      <w:r>
                        <w:rPr>
                          <w:color w:val="000000"/>
                          <w:spacing w:val="0"/>
                          <w:w w:val="100"/>
                          <w:position w:val="0"/>
                          <w:sz w:val="28"/>
                          <w:szCs w:val="28"/>
                          <w:shd w:val="clear" w:color="auto" w:fill="auto"/>
                          <w:lang w:val="ru-RU" w:eastAsia="ru-RU" w:bidi="ru-RU"/>
                        </w:rPr>
                        <w:t>#</w:t>
                      </w:r>
                    </w:fldSimple>
                  </w:p>
                </w:txbxContent>
              </v:textbox>
              <w10:wrap anchorx="page" anchory="page"/>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5" behindDoc="1" locked="0" layoutInCell="1" allowOverlap="1">
              <wp:simplePos x="0" y="0"/>
              <wp:positionH relativeFrom="page">
                <wp:posOffset>5433060</wp:posOffset>
              </wp:positionH>
              <wp:positionV relativeFrom="page">
                <wp:posOffset>514985</wp:posOffset>
              </wp:positionV>
              <wp:extent cx="149225" cy="121920"/>
              <wp:wrapNone/>
              <wp:docPr id="23" name="Shape 23"/>
              <a:graphic xmlns:a="http://schemas.openxmlformats.org/drawingml/2006/main">
                <a:graphicData uri="http://schemas.microsoft.com/office/word/2010/wordprocessingShape">
                  <wps:wsp>
                    <wps:cNvSpPr txBox="1"/>
                    <wps:spPr>
                      <a:xfrm>
                        <a:ext cx="149225" cy="12192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49" type="#_x0000_t202" style="position:absolute;margin-left:427.80000000000001pt;margin-top:40.550000000000004pt;width:11.75pt;height:9.5999999999999996pt;z-index:-188744048;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ru-RU" w:eastAsia="ru-RU" w:bidi="ru-RU"/>
                        </w:rPr>
                        <w:t>#</w:t>
                      </w:r>
                    </w:fldSimple>
                  </w:p>
                </w:txbxContent>
              </v:textbox>
              <w10:wrap anchorx="page" anchory="page"/>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7" behindDoc="1" locked="0" layoutInCell="1" allowOverlap="1">
              <wp:simplePos x="0" y="0"/>
              <wp:positionH relativeFrom="page">
                <wp:posOffset>5433060</wp:posOffset>
              </wp:positionH>
              <wp:positionV relativeFrom="page">
                <wp:posOffset>514985</wp:posOffset>
              </wp:positionV>
              <wp:extent cx="149225" cy="121920"/>
              <wp:wrapNone/>
              <wp:docPr id="25" name="Shape 25"/>
              <a:graphic xmlns:a="http://schemas.openxmlformats.org/drawingml/2006/main">
                <a:graphicData uri="http://schemas.microsoft.com/office/word/2010/wordprocessingShape">
                  <wps:wsp>
                    <wps:cNvSpPr txBox="1"/>
                    <wps:spPr>
                      <a:xfrm>
                        <a:ext cx="149225" cy="12192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51" type="#_x0000_t202" style="position:absolute;margin-left:427.80000000000001pt;margin-top:40.550000000000004pt;width:11.75pt;height:9.5999999999999996pt;z-index:-188744046;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ru-RU" w:eastAsia="ru-RU" w:bidi="ru-RU"/>
                        </w:rPr>
                        <w:t>#</w:t>
                      </w:r>
                    </w:fldSimple>
                  </w:p>
                </w:txbxContent>
              </v:textbox>
              <w10:wrap anchorx="page" anchory="page"/>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9" behindDoc="1" locked="0" layoutInCell="1" allowOverlap="1">
              <wp:simplePos x="0" y="0"/>
              <wp:positionH relativeFrom="page">
                <wp:posOffset>3787775</wp:posOffset>
              </wp:positionH>
              <wp:positionV relativeFrom="page">
                <wp:posOffset>491490</wp:posOffset>
              </wp:positionV>
              <wp:extent cx="73025" cy="118745"/>
              <wp:wrapNone/>
              <wp:docPr id="27" name="Shape 27"/>
              <a:graphic xmlns:a="http://schemas.openxmlformats.org/drawingml/2006/main">
                <a:graphicData uri="http://schemas.microsoft.com/office/word/2010/wordprocessingShape">
                  <wps:wsp>
                    <wps:cNvSpPr txBox="1"/>
                    <wps:spPr>
                      <a:xfrm>
                        <a:ext cx="73025" cy="118745"/>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53" type="#_x0000_t202" style="position:absolute;margin-left:298.25pt;margin-top:38.700000000000003pt;width:5.75pt;height:9.3499999999999996pt;z-index:-188744044;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ru-RU" w:eastAsia="ru-RU" w:bidi="ru-RU"/>
                        </w:rPr>
                        <w:t>#</w:t>
                      </w:r>
                    </w:fldSimple>
                  </w:p>
                </w:txbxContent>
              </v:textbox>
              <w10:wrap anchorx="page" anchory="page"/>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1" behindDoc="1" locked="0" layoutInCell="1" allowOverlap="1">
              <wp:simplePos x="0" y="0"/>
              <wp:positionH relativeFrom="page">
                <wp:posOffset>3787775</wp:posOffset>
              </wp:positionH>
              <wp:positionV relativeFrom="page">
                <wp:posOffset>491490</wp:posOffset>
              </wp:positionV>
              <wp:extent cx="73025" cy="118745"/>
              <wp:wrapNone/>
              <wp:docPr id="29" name="Shape 29"/>
              <a:graphic xmlns:a="http://schemas.openxmlformats.org/drawingml/2006/main">
                <a:graphicData uri="http://schemas.microsoft.com/office/word/2010/wordprocessingShape">
                  <wps:wsp>
                    <wps:cNvSpPr txBox="1"/>
                    <wps:spPr>
                      <a:xfrm>
                        <a:ext cx="73025" cy="118745"/>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55" type="#_x0000_t202" style="position:absolute;margin-left:298.25pt;margin-top:38.700000000000003pt;width:5.75pt;height:9.3499999999999996pt;z-index:-188744042;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ru-RU" w:eastAsia="ru-RU" w:bidi="ru-RU"/>
                        </w:rPr>
                        <w:t>#</w:t>
                      </w:r>
                    </w:fldSimple>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3" behindDoc="1" locked="0" layoutInCell="1" allowOverlap="1">
              <wp:simplePos x="0" y="0"/>
              <wp:positionH relativeFrom="page">
                <wp:posOffset>4011295</wp:posOffset>
              </wp:positionH>
              <wp:positionV relativeFrom="page">
                <wp:posOffset>491490</wp:posOffset>
              </wp:positionV>
              <wp:extent cx="76200" cy="118745"/>
              <wp:wrapNone/>
              <wp:docPr id="31" name="Shape 31"/>
              <a:graphic xmlns:a="http://schemas.openxmlformats.org/drawingml/2006/main">
                <a:graphicData uri="http://schemas.microsoft.com/office/word/2010/wordprocessingShape">
                  <wps:wsp>
                    <wps:cNvSpPr txBox="1"/>
                    <wps:spPr>
                      <a:xfrm>
                        <a:ext cx="76200" cy="118745"/>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57" type="#_x0000_t202" style="position:absolute;margin-left:315.85000000000002pt;margin-top:38.700000000000003pt;width:6.pt;height:9.3499999999999996pt;z-index:-188744040;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ru-RU" w:eastAsia="ru-RU" w:bidi="ru-RU"/>
                        </w:rPr>
                        <w:t>#</w:t>
                      </w:r>
                    </w:fldSimple>
                  </w:p>
                </w:txbxContent>
              </v:textbox>
              <w10:wrap anchorx="page" anchory="page"/>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5" behindDoc="1" locked="0" layoutInCell="1" allowOverlap="1">
              <wp:simplePos x="0" y="0"/>
              <wp:positionH relativeFrom="page">
                <wp:posOffset>5621655</wp:posOffset>
              </wp:positionH>
              <wp:positionV relativeFrom="page">
                <wp:posOffset>490220</wp:posOffset>
              </wp:positionV>
              <wp:extent cx="76200" cy="118745"/>
              <wp:wrapNone/>
              <wp:docPr id="33" name="Shape 33"/>
              <a:graphic xmlns:a="http://schemas.openxmlformats.org/drawingml/2006/main">
                <a:graphicData uri="http://schemas.microsoft.com/office/word/2010/wordprocessingShape">
                  <wps:wsp>
                    <wps:cNvSpPr txBox="1"/>
                    <wps:spPr>
                      <a:xfrm>
                        <a:ext cx="76200" cy="118745"/>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59" type="#_x0000_t202" style="position:absolute;margin-left:442.65000000000003pt;margin-top:38.600000000000001pt;width:6.pt;height:9.3499999999999996pt;z-index:-188744038;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ru-RU" w:eastAsia="ru-RU" w:bidi="ru-RU"/>
                        </w:rPr>
                        <w:t>#</w:t>
                      </w:r>
                    </w:fldSimple>
                  </w:p>
                </w:txbxContent>
              </v:textbox>
              <w10:wrap anchorx="page" anchory="page"/>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7" behindDoc="1" locked="0" layoutInCell="1" allowOverlap="1">
              <wp:simplePos x="0" y="0"/>
              <wp:positionH relativeFrom="page">
                <wp:posOffset>5407025</wp:posOffset>
              </wp:positionH>
              <wp:positionV relativeFrom="page">
                <wp:posOffset>490220</wp:posOffset>
              </wp:positionV>
              <wp:extent cx="67310" cy="121920"/>
              <wp:wrapNone/>
              <wp:docPr id="35" name="Shape 35"/>
              <a:graphic xmlns:a="http://schemas.openxmlformats.org/drawingml/2006/main">
                <a:graphicData uri="http://schemas.microsoft.com/office/word/2010/wordprocessingShape">
                  <wps:wsp>
                    <wps:cNvSpPr txBox="1"/>
                    <wps:spPr>
                      <a:xfrm>
                        <a:ext cx="67310" cy="12192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61" type="#_x0000_t202" style="position:absolute;margin-left:425.75pt;margin-top:38.600000000000001pt;width:5.2999999999999998pt;height:9.5999999999999996pt;z-index:-188744036;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ru-RU" w:eastAsia="ru-RU" w:bidi="ru-RU"/>
                        </w:rPr>
                        <w:t>#</w:t>
                      </w:r>
                    </w:fldSimple>
                  </w:p>
                </w:txbxContent>
              </v:textbox>
              <w10:wrap anchorx="page" anchory="page"/>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9" behindDoc="1" locked="0" layoutInCell="1" allowOverlap="1">
              <wp:simplePos x="0" y="0"/>
              <wp:positionH relativeFrom="page">
                <wp:posOffset>5538470</wp:posOffset>
              </wp:positionH>
              <wp:positionV relativeFrom="page">
                <wp:posOffset>490855</wp:posOffset>
              </wp:positionV>
              <wp:extent cx="76200" cy="118745"/>
              <wp:wrapNone/>
              <wp:docPr id="37" name="Shape 37"/>
              <a:graphic xmlns:a="http://schemas.openxmlformats.org/drawingml/2006/main">
                <a:graphicData uri="http://schemas.microsoft.com/office/word/2010/wordprocessingShape">
                  <wps:wsp>
                    <wps:cNvSpPr txBox="1"/>
                    <wps:spPr>
                      <a:xfrm>
                        <a:ext cx="76200" cy="118745"/>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63" type="#_x0000_t202" style="position:absolute;margin-left:436.10000000000002pt;margin-top:38.649999999999999pt;width:6.pt;height:9.3499999999999996pt;z-index:-188744034;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ru-RU" w:eastAsia="ru-RU" w:bidi="ru-RU"/>
                        </w:rPr>
                        <w:t>#</w:t>
                      </w:r>
                    </w:fldSimple>
                  </w:p>
                </w:txbxContent>
              </v:textbox>
              <w10:wrap anchorx="page" anchory="page"/>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1" behindDoc="1" locked="0" layoutInCell="1" allowOverlap="1">
              <wp:simplePos x="0" y="0"/>
              <wp:positionH relativeFrom="page">
                <wp:posOffset>5340350</wp:posOffset>
              </wp:positionH>
              <wp:positionV relativeFrom="page">
                <wp:posOffset>452755</wp:posOffset>
              </wp:positionV>
              <wp:extent cx="67310" cy="121920"/>
              <wp:wrapNone/>
              <wp:docPr id="39" name="Shape 39"/>
              <a:graphic xmlns:a="http://schemas.openxmlformats.org/drawingml/2006/main">
                <a:graphicData uri="http://schemas.microsoft.com/office/word/2010/wordprocessingShape">
                  <wps:wsp>
                    <wps:cNvSpPr txBox="1"/>
                    <wps:spPr>
                      <a:xfrm>
                        <a:ext cx="67310" cy="12192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65" type="#_x0000_t202" style="position:absolute;margin-left:420.5pt;margin-top:35.649999999999999pt;width:5.2999999999999998pt;height:9.5999999999999996pt;z-index:-188744032;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ru-RU" w:eastAsia="ru-RU" w:bidi="ru-RU"/>
                        </w:rPr>
                        <w:t>#</w:t>
                      </w:r>
                    </w:fldSimple>
                  </w:p>
                </w:txbxContent>
              </v:textbox>
              <w10:wrap anchorx="page" anchory="page"/>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3" behindDoc="1" locked="0" layoutInCell="1" allowOverlap="1">
              <wp:simplePos x="0" y="0"/>
              <wp:positionH relativeFrom="page">
                <wp:posOffset>3959860</wp:posOffset>
              </wp:positionH>
              <wp:positionV relativeFrom="page">
                <wp:posOffset>491490</wp:posOffset>
              </wp:positionV>
              <wp:extent cx="149225" cy="125095"/>
              <wp:wrapNone/>
              <wp:docPr id="11" name="Shape 11"/>
              <a:graphic xmlns:a="http://schemas.openxmlformats.org/drawingml/2006/main">
                <a:graphicData uri="http://schemas.microsoft.com/office/word/2010/wordprocessingShape">
                  <wps:wsp>
                    <wps:cNvSpPr txBox="1"/>
                    <wps:spPr>
                      <a:xfrm>
                        <a:ext cx="149225" cy="125095"/>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rPr>
                              <w:sz w:val="28"/>
                              <w:szCs w:val="28"/>
                            </w:rPr>
                          </w:pPr>
                          <w:fldSimple w:instr=" PAGE \* MERGEFORMAT ">
                            <w:r>
                              <w:rPr>
                                <w:color w:val="000000"/>
                                <w:spacing w:val="0"/>
                                <w:w w:val="100"/>
                                <w:position w:val="0"/>
                                <w:sz w:val="28"/>
                                <w:szCs w:val="28"/>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37" type="#_x0000_t202" style="position:absolute;margin-left:311.80000000000001pt;margin-top:38.700000000000003pt;width:11.75pt;height:9.8499999999999996pt;z-index:-188744060;mso-wrap-style:none;mso-wrap-distance-left:0;mso-wrap-distance-right:0;mso-position-horizontal-relative:page;mso-position-vertical-relative:page" wrapcoords="0 0" filled="f" stroked="f">
              <v:textbox style="mso-fit-shape-to-text:t" inset="0,0,0,0">
                <w:txbxContent>
                  <w:p>
                    <w:pPr>
                      <w:pStyle w:val="Style15"/>
                      <w:keepNext w:val="0"/>
                      <w:keepLines w:val="0"/>
                      <w:widowControl w:val="0"/>
                      <w:shd w:val="clear" w:color="auto" w:fill="auto"/>
                      <w:bidi w:val="0"/>
                      <w:spacing w:before="0" w:after="0" w:line="240" w:lineRule="auto"/>
                      <w:ind w:left="0" w:right="0" w:firstLine="0"/>
                      <w:jc w:val="left"/>
                      <w:rPr>
                        <w:sz w:val="28"/>
                        <w:szCs w:val="28"/>
                      </w:rPr>
                    </w:pPr>
                    <w:fldSimple w:instr=" PAGE \* MERGEFORMAT ">
                      <w:r>
                        <w:rPr>
                          <w:color w:val="000000"/>
                          <w:spacing w:val="0"/>
                          <w:w w:val="100"/>
                          <w:position w:val="0"/>
                          <w:sz w:val="28"/>
                          <w:szCs w:val="28"/>
                          <w:shd w:val="clear" w:color="auto" w:fill="auto"/>
                          <w:lang w:val="ru-RU" w:eastAsia="ru-RU" w:bidi="ru-RU"/>
                        </w:rPr>
                        <w:t>#</w:t>
                      </w:r>
                    </w:fldSimple>
                  </w:p>
                </w:txbxContent>
              </v:textbox>
              <w10:wrap anchorx="page" anchory="page"/>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3" behindDoc="1" locked="0" layoutInCell="1" allowOverlap="1">
              <wp:simplePos x="0" y="0"/>
              <wp:positionH relativeFrom="page">
                <wp:posOffset>5351145</wp:posOffset>
              </wp:positionH>
              <wp:positionV relativeFrom="page">
                <wp:posOffset>452755</wp:posOffset>
              </wp:positionV>
              <wp:extent cx="67310" cy="118745"/>
              <wp:wrapNone/>
              <wp:docPr id="41" name="Shape 41"/>
              <a:graphic xmlns:a="http://schemas.openxmlformats.org/drawingml/2006/main">
                <a:graphicData uri="http://schemas.microsoft.com/office/word/2010/wordprocessingShape">
                  <wps:wsp>
                    <wps:cNvSpPr txBox="1"/>
                    <wps:spPr>
                      <a:xfrm>
                        <a:ext cx="67310" cy="118745"/>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67" type="#_x0000_t202" style="position:absolute;margin-left:421.35000000000002pt;margin-top:35.649999999999999pt;width:5.2999999999999998pt;height:9.3499999999999996pt;z-index:-188744030;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ru-RU" w:eastAsia="ru-RU" w:bidi="ru-RU"/>
                        </w:rPr>
                        <w:t>#</w:t>
                      </w:r>
                    </w:fldSimple>
                  </w:p>
                </w:txbxContent>
              </v:textbox>
              <w10:wrap anchorx="page" anchory="page"/>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5" behindDoc="1" locked="0" layoutInCell="1" allowOverlap="1">
              <wp:simplePos x="0" y="0"/>
              <wp:positionH relativeFrom="page">
                <wp:posOffset>5526405</wp:posOffset>
              </wp:positionH>
              <wp:positionV relativeFrom="page">
                <wp:posOffset>452755</wp:posOffset>
              </wp:positionV>
              <wp:extent cx="146050" cy="121920"/>
              <wp:wrapNone/>
              <wp:docPr id="43" name="Shape 43"/>
              <a:graphic xmlns:a="http://schemas.openxmlformats.org/drawingml/2006/main">
                <a:graphicData uri="http://schemas.microsoft.com/office/word/2010/wordprocessingShape">
                  <wps:wsp>
                    <wps:cNvSpPr txBox="1"/>
                    <wps:spPr>
                      <a:xfrm>
                        <a:ext cx="146050" cy="12192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69" type="#_x0000_t202" style="position:absolute;margin-left:435.15000000000003pt;margin-top:35.649999999999999pt;width:11.5pt;height:9.5999999999999996pt;z-index:-188744028;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ru-RU" w:eastAsia="ru-RU" w:bidi="ru-RU"/>
                        </w:rPr>
                        <w:t>#</w:t>
                      </w:r>
                    </w:fldSimple>
                  </w:p>
                </w:txbxContent>
              </v:textbox>
              <w10:wrap anchorx="page" anchory="page"/>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7" behindDoc="1" locked="0" layoutInCell="1" allowOverlap="1">
              <wp:simplePos x="0" y="0"/>
              <wp:positionH relativeFrom="page">
                <wp:posOffset>5504815</wp:posOffset>
              </wp:positionH>
              <wp:positionV relativeFrom="page">
                <wp:posOffset>452755</wp:posOffset>
              </wp:positionV>
              <wp:extent cx="167640" cy="121920"/>
              <wp:wrapNone/>
              <wp:docPr id="45" name="Shape 45"/>
              <a:graphic xmlns:a="http://schemas.openxmlformats.org/drawingml/2006/main">
                <a:graphicData uri="http://schemas.microsoft.com/office/word/2010/wordprocessingShape">
                  <wps:wsp>
                    <wps:cNvSpPr txBox="1"/>
                    <wps:spPr>
                      <a:xfrm>
                        <a:ext cx="167640" cy="12192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ru-RU" w:eastAsia="ru-RU" w:bidi="ru-RU"/>
                            </w:rPr>
                            <w:t>Т1</w:t>
                          </w:r>
                        </w:p>
                      </w:txbxContent>
                    </wps:txbx>
                    <wps:bodyPr wrap="none" lIns="0" tIns="0" rIns="0" bIns="0">
                      <a:spAutoFit/>
                    </wps:bodyPr>
                  </wps:wsp>
                </a:graphicData>
              </a:graphic>
            </wp:anchor>
          </w:drawing>
        </mc:Choice>
        <mc:Fallback>
          <w:pict>
            <v:shape id="_x0000_s1071" type="#_x0000_t202" style="position:absolute;margin-left:433.44999999999999pt;margin-top:35.649999999999999pt;width:13.200000000000001pt;height:9.5999999999999996pt;z-index:-188744026;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ru-RU" w:eastAsia="ru-RU" w:bidi="ru-RU"/>
                      </w:rPr>
                      <w:t>Т1</w:t>
                    </w:r>
                  </w:p>
                </w:txbxContent>
              </v:textbox>
              <w10:wrap anchorx="page" anchory="page"/>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9" behindDoc="1" locked="0" layoutInCell="1" allowOverlap="1">
              <wp:simplePos x="0" y="0"/>
              <wp:positionH relativeFrom="page">
                <wp:posOffset>5526405</wp:posOffset>
              </wp:positionH>
              <wp:positionV relativeFrom="page">
                <wp:posOffset>452755</wp:posOffset>
              </wp:positionV>
              <wp:extent cx="146050" cy="121920"/>
              <wp:wrapNone/>
              <wp:docPr id="47" name="Shape 47"/>
              <a:graphic xmlns:a="http://schemas.openxmlformats.org/drawingml/2006/main">
                <a:graphicData uri="http://schemas.microsoft.com/office/word/2010/wordprocessingShape">
                  <wps:wsp>
                    <wps:cNvSpPr txBox="1"/>
                    <wps:spPr>
                      <a:xfrm>
                        <a:ext cx="146050" cy="12192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73" type="#_x0000_t202" style="position:absolute;margin-left:435.15000000000003pt;margin-top:35.649999999999999pt;width:11.5pt;height:9.5999999999999996pt;z-index:-188744024;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ru-RU" w:eastAsia="ru-RU" w:bidi="ru-RU"/>
                        </w:rPr>
                        <w:t>#</w:t>
                      </w:r>
                    </w:fldSimple>
                  </w:p>
                </w:txbxContent>
              </v:textbox>
              <w10:wrap anchorx="page" anchory="page"/>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1" behindDoc="1" locked="0" layoutInCell="1" allowOverlap="1">
              <wp:simplePos x="0" y="0"/>
              <wp:positionH relativeFrom="page">
                <wp:posOffset>5307330</wp:posOffset>
              </wp:positionH>
              <wp:positionV relativeFrom="page">
                <wp:posOffset>398780</wp:posOffset>
              </wp:positionV>
              <wp:extent cx="76200" cy="121920"/>
              <wp:wrapNone/>
              <wp:docPr id="49" name="Shape 49"/>
              <a:graphic xmlns:a="http://schemas.openxmlformats.org/drawingml/2006/main">
                <a:graphicData uri="http://schemas.microsoft.com/office/word/2010/wordprocessingShape">
                  <wps:wsp>
                    <wps:cNvSpPr txBox="1"/>
                    <wps:spPr>
                      <a:xfrm>
                        <a:ext cx="76200" cy="12192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75" type="#_x0000_t202" style="position:absolute;margin-left:417.90000000000003pt;margin-top:31.400000000000002pt;width:6.pt;height:9.5999999999999996pt;z-index:-188744022;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ru-RU" w:eastAsia="ru-RU" w:bidi="ru-RU"/>
                        </w:rPr>
                        <w:t>#</w:t>
                      </w:r>
                    </w:fldSimple>
                  </w:p>
                </w:txbxContent>
              </v:textbox>
              <w10:wrap anchorx="page" anchory="page"/>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3" behindDoc="1" locked="0" layoutInCell="1" allowOverlap="1">
              <wp:simplePos x="0" y="0"/>
              <wp:positionH relativeFrom="page">
                <wp:posOffset>4008120</wp:posOffset>
              </wp:positionH>
              <wp:positionV relativeFrom="page">
                <wp:posOffset>491490</wp:posOffset>
              </wp:positionV>
              <wp:extent cx="76200" cy="121920"/>
              <wp:wrapNone/>
              <wp:docPr id="51" name="Shape 51"/>
              <a:graphic xmlns:a="http://schemas.openxmlformats.org/drawingml/2006/main">
                <a:graphicData uri="http://schemas.microsoft.com/office/word/2010/wordprocessingShape">
                  <wps:wsp>
                    <wps:cNvSpPr txBox="1"/>
                    <wps:spPr>
                      <a:xfrm>
                        <a:ext cx="76200" cy="12192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77" type="#_x0000_t202" style="position:absolute;margin-left:315.60000000000002pt;margin-top:38.700000000000003pt;width:6.pt;height:9.5999999999999996pt;z-index:-188744020;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ru-RU" w:eastAsia="ru-RU" w:bidi="ru-RU"/>
                        </w:rPr>
                        <w:t>#</w:t>
                      </w:r>
                    </w:fldSimple>
                  </w:p>
                </w:txbxContent>
              </v:textbox>
              <w10:wrap anchorx="page" anchory="page"/>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5" behindDoc="1" locked="0" layoutInCell="1" allowOverlap="1">
              <wp:simplePos x="0" y="0"/>
              <wp:positionH relativeFrom="page">
                <wp:posOffset>3959860</wp:posOffset>
              </wp:positionH>
              <wp:positionV relativeFrom="page">
                <wp:posOffset>491490</wp:posOffset>
              </wp:positionV>
              <wp:extent cx="149225" cy="125095"/>
              <wp:wrapNone/>
              <wp:docPr id="13" name="Shape 13"/>
              <a:graphic xmlns:a="http://schemas.openxmlformats.org/drawingml/2006/main">
                <a:graphicData uri="http://schemas.microsoft.com/office/word/2010/wordprocessingShape">
                  <wps:wsp>
                    <wps:cNvSpPr txBox="1"/>
                    <wps:spPr>
                      <a:xfrm>
                        <a:ext cx="149225" cy="125095"/>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rPr>
                              <w:sz w:val="28"/>
                              <w:szCs w:val="28"/>
                            </w:rPr>
                          </w:pPr>
                          <w:fldSimple w:instr=" PAGE \* MERGEFORMAT ">
                            <w:r>
                              <w:rPr>
                                <w:color w:val="000000"/>
                                <w:spacing w:val="0"/>
                                <w:w w:val="100"/>
                                <w:position w:val="0"/>
                                <w:sz w:val="28"/>
                                <w:szCs w:val="28"/>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39" type="#_x0000_t202" style="position:absolute;margin-left:311.80000000000001pt;margin-top:38.700000000000003pt;width:11.75pt;height:9.8499999999999996pt;z-index:-188744058;mso-wrap-style:none;mso-wrap-distance-left:0;mso-wrap-distance-right:0;mso-position-horizontal-relative:page;mso-position-vertical-relative:page" wrapcoords="0 0" filled="f" stroked="f">
              <v:textbox style="mso-fit-shape-to-text:t" inset="0,0,0,0">
                <w:txbxContent>
                  <w:p>
                    <w:pPr>
                      <w:pStyle w:val="Style15"/>
                      <w:keepNext w:val="0"/>
                      <w:keepLines w:val="0"/>
                      <w:widowControl w:val="0"/>
                      <w:shd w:val="clear" w:color="auto" w:fill="auto"/>
                      <w:bidi w:val="0"/>
                      <w:spacing w:before="0" w:after="0" w:line="240" w:lineRule="auto"/>
                      <w:ind w:left="0" w:right="0" w:firstLine="0"/>
                      <w:jc w:val="left"/>
                      <w:rPr>
                        <w:sz w:val="28"/>
                        <w:szCs w:val="28"/>
                      </w:rPr>
                    </w:pPr>
                    <w:fldSimple w:instr=" PAGE \* MERGEFORMAT ">
                      <w:r>
                        <w:rPr>
                          <w:color w:val="000000"/>
                          <w:spacing w:val="0"/>
                          <w:w w:val="100"/>
                          <w:position w:val="0"/>
                          <w:sz w:val="28"/>
                          <w:szCs w:val="28"/>
                          <w:shd w:val="clear" w:color="auto" w:fill="auto"/>
                          <w:lang w:val="ru-RU" w:eastAsia="ru-RU" w:bidi="ru-RU"/>
                        </w:rPr>
                        <w:t>#</w:t>
                      </w:r>
                    </w:fldSimple>
                  </w:p>
                </w:txbxContent>
              </v:textbox>
              <w10:wrap anchorx="page" anchory="page"/>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7" behindDoc="1" locked="0" layoutInCell="1" allowOverlap="1">
              <wp:simplePos x="0" y="0"/>
              <wp:positionH relativeFrom="page">
                <wp:posOffset>3959860</wp:posOffset>
              </wp:positionH>
              <wp:positionV relativeFrom="page">
                <wp:posOffset>491490</wp:posOffset>
              </wp:positionV>
              <wp:extent cx="161290" cy="125095"/>
              <wp:wrapNone/>
              <wp:docPr id="15" name="Shape 15"/>
              <a:graphic xmlns:a="http://schemas.openxmlformats.org/drawingml/2006/main">
                <a:graphicData uri="http://schemas.microsoft.com/office/word/2010/wordprocessingShape">
                  <wps:wsp>
                    <wps:cNvSpPr txBox="1"/>
                    <wps:spPr>
                      <a:xfrm>
                        <a:ext cx="161290" cy="125095"/>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pPr>
                          <w:fldSimple w:instr=" PAGE \* MERGEFORMAT ">
                            <w:r>
                              <w:rPr>
                                <w:i/>
                                <w:iCs/>
                                <w:color w:val="000000"/>
                                <w:spacing w:val="0"/>
                                <w:w w:val="100"/>
                                <w:position w:val="0"/>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41" type="#_x0000_t202" style="position:absolute;margin-left:311.80000000000001pt;margin-top:38.700000000000003pt;width:12.700000000000001pt;height:9.8499999999999996pt;z-index:-188744056;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pPr>
                    <w:fldSimple w:instr=" PAGE \* MERGEFORMAT ">
                      <w:r>
                        <w:rPr>
                          <w:i/>
                          <w:iCs/>
                          <w:color w:val="000000"/>
                          <w:spacing w:val="0"/>
                          <w:w w:val="100"/>
                          <w:position w:val="0"/>
                          <w:shd w:val="clear" w:color="auto" w:fill="auto"/>
                          <w:lang w:val="ru-RU" w:eastAsia="ru-RU" w:bidi="ru-RU"/>
                        </w:rPr>
                        <w:t>#</w:t>
                      </w:r>
                    </w:fldSimple>
                  </w:p>
                </w:txbxContent>
              </v:textbox>
              <w10:wrap anchorx="page" anchory="page"/>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9" behindDoc="1" locked="0" layoutInCell="1" allowOverlap="1">
              <wp:simplePos x="0" y="0"/>
              <wp:positionH relativeFrom="page">
                <wp:posOffset>3959860</wp:posOffset>
              </wp:positionH>
              <wp:positionV relativeFrom="page">
                <wp:posOffset>491490</wp:posOffset>
              </wp:positionV>
              <wp:extent cx="149225" cy="125095"/>
              <wp:wrapNone/>
              <wp:docPr id="17" name="Shape 17"/>
              <a:graphic xmlns:a="http://schemas.openxmlformats.org/drawingml/2006/main">
                <a:graphicData uri="http://schemas.microsoft.com/office/word/2010/wordprocessingShape">
                  <wps:wsp>
                    <wps:cNvSpPr txBox="1"/>
                    <wps:spPr>
                      <a:xfrm>
                        <a:ext cx="149225" cy="125095"/>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rPr>
                              <w:sz w:val="28"/>
                              <w:szCs w:val="28"/>
                            </w:rPr>
                          </w:pPr>
                          <w:fldSimple w:instr=" PAGE \* MERGEFORMAT ">
                            <w:r>
                              <w:rPr>
                                <w:color w:val="000000"/>
                                <w:spacing w:val="0"/>
                                <w:w w:val="100"/>
                                <w:position w:val="0"/>
                                <w:sz w:val="28"/>
                                <w:szCs w:val="28"/>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43" type="#_x0000_t202" style="position:absolute;margin-left:311.80000000000001pt;margin-top:38.700000000000003pt;width:11.75pt;height:9.8499999999999996pt;z-index:-188744054;mso-wrap-style:none;mso-wrap-distance-left:0;mso-wrap-distance-right:0;mso-position-horizontal-relative:page;mso-position-vertical-relative:page" wrapcoords="0 0" filled="f" stroked="f">
              <v:textbox style="mso-fit-shape-to-text:t" inset="0,0,0,0">
                <w:txbxContent>
                  <w:p>
                    <w:pPr>
                      <w:pStyle w:val="Style15"/>
                      <w:keepNext w:val="0"/>
                      <w:keepLines w:val="0"/>
                      <w:widowControl w:val="0"/>
                      <w:shd w:val="clear" w:color="auto" w:fill="auto"/>
                      <w:bidi w:val="0"/>
                      <w:spacing w:before="0" w:after="0" w:line="240" w:lineRule="auto"/>
                      <w:ind w:left="0" w:right="0" w:firstLine="0"/>
                      <w:jc w:val="left"/>
                      <w:rPr>
                        <w:sz w:val="28"/>
                        <w:szCs w:val="28"/>
                      </w:rPr>
                    </w:pPr>
                    <w:fldSimple w:instr=" PAGE \* MERGEFORMAT ">
                      <w:r>
                        <w:rPr>
                          <w:color w:val="000000"/>
                          <w:spacing w:val="0"/>
                          <w:w w:val="100"/>
                          <w:position w:val="0"/>
                          <w:sz w:val="28"/>
                          <w:szCs w:val="28"/>
                          <w:shd w:val="clear" w:color="auto" w:fill="auto"/>
                          <w:lang w:val="ru-RU" w:eastAsia="ru-RU" w:bidi="ru-RU"/>
                        </w:rPr>
                        <w:t>#</w:t>
                      </w:r>
                    </w:fldSimple>
                  </w:p>
                </w:txbxContent>
              </v:textbox>
              <w10:wrap anchorx="page" anchory="page"/>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1" behindDoc="1" locked="0" layoutInCell="1" allowOverlap="1">
              <wp:simplePos x="0" y="0"/>
              <wp:positionH relativeFrom="page">
                <wp:posOffset>3959860</wp:posOffset>
              </wp:positionH>
              <wp:positionV relativeFrom="page">
                <wp:posOffset>491490</wp:posOffset>
              </wp:positionV>
              <wp:extent cx="149225" cy="125095"/>
              <wp:wrapNone/>
              <wp:docPr id="19" name="Shape 19"/>
              <a:graphic xmlns:a="http://schemas.openxmlformats.org/drawingml/2006/main">
                <a:graphicData uri="http://schemas.microsoft.com/office/word/2010/wordprocessingShape">
                  <wps:wsp>
                    <wps:cNvSpPr txBox="1"/>
                    <wps:spPr>
                      <a:xfrm>
                        <a:ext cx="149225" cy="125095"/>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rPr>
                              <w:sz w:val="28"/>
                              <w:szCs w:val="28"/>
                            </w:rPr>
                          </w:pPr>
                          <w:fldSimple w:instr=" PAGE \* MERGEFORMAT ">
                            <w:r>
                              <w:rPr>
                                <w:color w:val="000000"/>
                                <w:spacing w:val="0"/>
                                <w:w w:val="100"/>
                                <w:position w:val="0"/>
                                <w:sz w:val="28"/>
                                <w:szCs w:val="28"/>
                                <w:shd w:val="clear" w:color="auto" w:fill="auto"/>
                                <w:lang w:val="ru-RU" w:eastAsia="ru-RU" w:bidi="ru-RU"/>
                              </w:rPr>
                              <w:t>#</w:t>
                            </w:r>
                          </w:fldSimple>
                        </w:p>
                      </w:txbxContent>
                    </wps:txbx>
                    <wps:bodyPr wrap="none" lIns="0" tIns="0" rIns="0" bIns="0">
                      <a:spAutoFit/>
                    </wps:bodyPr>
                  </wps:wsp>
                </a:graphicData>
              </a:graphic>
            </wp:anchor>
          </w:drawing>
        </mc:Choice>
        <mc:Fallback>
          <w:pict>
            <v:shape id="_x0000_s1045" type="#_x0000_t202" style="position:absolute;margin-left:311.80000000000001pt;margin-top:38.700000000000003pt;width:11.75pt;height:9.8499999999999996pt;z-index:-188744052;mso-wrap-style:none;mso-wrap-distance-left:0;mso-wrap-distance-right:0;mso-position-horizontal-relative:page;mso-position-vertical-relative:page" wrapcoords="0 0" filled="f" stroked="f">
              <v:textbox style="mso-fit-shape-to-text:t" inset="0,0,0,0">
                <w:txbxContent>
                  <w:p>
                    <w:pPr>
                      <w:pStyle w:val="Style15"/>
                      <w:keepNext w:val="0"/>
                      <w:keepLines w:val="0"/>
                      <w:widowControl w:val="0"/>
                      <w:shd w:val="clear" w:color="auto" w:fill="auto"/>
                      <w:bidi w:val="0"/>
                      <w:spacing w:before="0" w:after="0" w:line="240" w:lineRule="auto"/>
                      <w:ind w:left="0" w:right="0" w:firstLine="0"/>
                      <w:jc w:val="left"/>
                      <w:rPr>
                        <w:sz w:val="28"/>
                        <w:szCs w:val="28"/>
                      </w:rPr>
                    </w:pPr>
                    <w:fldSimple w:instr=" PAGE \* MERGEFORMAT ">
                      <w:r>
                        <w:rPr>
                          <w:color w:val="000000"/>
                          <w:spacing w:val="0"/>
                          <w:w w:val="100"/>
                          <w:position w:val="0"/>
                          <w:sz w:val="28"/>
                          <w:szCs w:val="28"/>
                          <w:shd w:val="clear" w:color="auto" w:fill="auto"/>
                          <w:lang w:val="ru-RU" w:eastAsia="ru-RU" w:bidi="ru-RU"/>
                        </w:rPr>
                        <w:t>#</w:t>
                      </w:r>
                    </w:fldSimple>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4">
    <w:multiLevelType w:val="multilevel"/>
    <w:lvl w:ilvl="0">
      <w:start w:val="6"/>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0">
    <w:multiLevelType w:val="multilevel"/>
    <w:lvl w:ilvl="0">
      <w:start w:val="9"/>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4">
    <w:multiLevelType w:val="multilevel"/>
    <w:lvl w:ilvl="0">
      <w:start w:val="14"/>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2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2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24">
    <w:multiLevelType w:val="multilevel"/>
    <w:lvl w:ilvl="0">
      <w:start w:val="20"/>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2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2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30">
    <w:multiLevelType w:val="multilevel"/>
    <w:lvl w:ilvl="0">
      <w:start w:val="23"/>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32">
    <w:multiLevelType w:val="multilevel"/>
    <w:lvl w:ilvl="0">
      <w:start w:val="27"/>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3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36">
    <w:multiLevelType w:val="multilevel"/>
    <w:lvl w:ilvl="0">
      <w:start w:val="29"/>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3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4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4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4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46">
    <w:multiLevelType w:val="multilevel"/>
    <w:lvl w:ilvl="0">
      <w:start w:val="36"/>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4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5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5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5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56">
    <w:multiLevelType w:val="multilevel"/>
    <w:lvl w:ilvl="0">
      <w:start w:val="38"/>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58">
    <w:multiLevelType w:val="multilevel"/>
    <w:lvl w:ilvl="0">
      <w:start w:val="42"/>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6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62">
    <w:multiLevelType w:val="multilevel"/>
    <w:lvl w:ilvl="0">
      <w:start w:val="44"/>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6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6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6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7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7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74">
    <w:multiLevelType w:val="multilevel"/>
    <w:lvl w:ilvl="0">
      <w:start w:val="50"/>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7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7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80">
    <w:multiLevelType w:val="multilevel"/>
    <w:lvl w:ilvl="0">
      <w:start w:val="52"/>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8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84">
    <w:multiLevelType w:val="multilevel"/>
    <w:lvl w:ilvl="0">
      <w:start w:val="53"/>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8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8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90">
    <w:multiLevelType w:val="multilevel"/>
    <w:lvl w:ilvl="0">
      <w:start w:val="68"/>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9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94">
    <w:multiLevelType w:val="multilevel"/>
    <w:lvl w:ilvl="0">
      <w:start w:val="69"/>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9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98">
    <w:multiLevelType w:val="multilevel"/>
    <w:lvl w:ilvl="0">
      <w:start w:val="8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0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02">
    <w:multiLevelType w:val="multilevel"/>
    <w:lvl w:ilvl="0">
      <w:start w:val="86"/>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0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06">
    <w:multiLevelType w:val="multilevel"/>
    <w:lvl w:ilvl="0">
      <w:start w:val="9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0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1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12">
    <w:multiLevelType w:val="multilevel"/>
    <w:lvl w:ilvl="0">
      <w:start w:val="93"/>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1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18">
    <w:multiLevelType w:val="multilevel"/>
    <w:lvl w:ilvl="0">
      <w:start w:val="95"/>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2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22">
    <w:multiLevelType w:val="multilevel"/>
    <w:lvl w:ilvl="0">
      <w:start w:val="99"/>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24">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2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2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vertAlign w:val="superscript"/>
        <w:lang w:val="ru-RU" w:eastAsia="ru-RU" w:bidi="ru-RU"/>
      </w:rPr>
    </w:lvl>
  </w:abstractNum>
  <w:abstractNum w:abstractNumId="13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3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3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36">
    <w:multiLevelType w:val="multilevel"/>
    <w:lvl w:ilvl="0">
      <w:start w:val="8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3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4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4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vertAlign w:val="superscript"/>
        <w:lang w:val="ru-RU" w:eastAsia="ru-RU" w:bidi="ru-RU"/>
      </w:rPr>
    </w:lvl>
  </w:abstractNum>
  <w:abstractNum w:abstractNumId="14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abstractNum w:abstractNumId="14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vertAlign w:val="superscript"/>
        <w:lang w:val="ru-RU" w:eastAsia="ru-RU" w:bidi="ru-RU"/>
      </w:rPr>
    </w:lvl>
  </w:abstractNum>
  <w:abstractNum w:abstractNumId="148">
    <w:multiLevelType w:val="multilevel"/>
    <w:lvl w:ilvl="0">
      <w:start w:val="118"/>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vertAlign w:val="superscript"/>
        <w:lang w:val="ru-RU" w:eastAsia="ru-RU" w:bidi="ru-RU"/>
      </w:rPr>
    </w:lvl>
  </w:abstractNum>
  <w:abstractNum w:abstractNumId="15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 w:numId="81">
    <w:abstractNumId w:val="80"/>
  </w:num>
  <w:num w:numId="83">
    <w:abstractNumId w:val="82"/>
  </w:num>
  <w:num w:numId="85">
    <w:abstractNumId w:val="84"/>
  </w:num>
  <w:num w:numId="87">
    <w:abstractNumId w:val="86"/>
  </w:num>
  <w:num w:numId="89">
    <w:abstractNumId w:val="88"/>
  </w:num>
  <w:num w:numId="91">
    <w:abstractNumId w:val="90"/>
  </w:num>
  <w:num w:numId="93">
    <w:abstractNumId w:val="92"/>
  </w:num>
  <w:num w:numId="95">
    <w:abstractNumId w:val="94"/>
  </w:num>
  <w:num w:numId="97">
    <w:abstractNumId w:val="96"/>
  </w:num>
  <w:num w:numId="99">
    <w:abstractNumId w:val="98"/>
  </w:num>
  <w:num w:numId="101">
    <w:abstractNumId w:val="100"/>
  </w:num>
  <w:num w:numId="103">
    <w:abstractNumId w:val="102"/>
  </w:num>
  <w:num w:numId="105">
    <w:abstractNumId w:val="104"/>
  </w:num>
  <w:num w:numId="107">
    <w:abstractNumId w:val="106"/>
  </w:num>
  <w:num w:numId="109">
    <w:abstractNumId w:val="108"/>
  </w:num>
  <w:num w:numId="111">
    <w:abstractNumId w:val="110"/>
  </w:num>
  <w:num w:numId="113">
    <w:abstractNumId w:val="112"/>
  </w:num>
  <w:num w:numId="115">
    <w:abstractNumId w:val="114"/>
  </w:num>
  <w:num w:numId="117">
    <w:abstractNumId w:val="116"/>
  </w:num>
  <w:num w:numId="119">
    <w:abstractNumId w:val="118"/>
  </w:num>
  <w:num w:numId="121">
    <w:abstractNumId w:val="120"/>
  </w:num>
  <w:num w:numId="123">
    <w:abstractNumId w:val="122"/>
  </w:num>
  <w:num w:numId="125">
    <w:abstractNumId w:val="124"/>
  </w:num>
  <w:num w:numId="127">
    <w:abstractNumId w:val="126"/>
  </w:num>
  <w:num w:numId="129">
    <w:abstractNumId w:val="128"/>
  </w:num>
  <w:num w:numId="131">
    <w:abstractNumId w:val="130"/>
  </w:num>
  <w:num w:numId="133">
    <w:abstractNumId w:val="132"/>
  </w:num>
  <w:num w:numId="135">
    <w:abstractNumId w:val="134"/>
  </w:num>
  <w:num w:numId="137">
    <w:abstractNumId w:val="136"/>
  </w:num>
  <w:num w:numId="139">
    <w:abstractNumId w:val="138"/>
  </w:num>
  <w:num w:numId="141">
    <w:abstractNumId w:val="140"/>
  </w:num>
  <w:num w:numId="143">
    <w:abstractNumId w:val="142"/>
  </w:num>
  <w:num w:numId="145">
    <w:abstractNumId w:val="144"/>
  </w:num>
  <w:num w:numId="147">
    <w:abstractNumId w:val="146"/>
  </w:num>
  <w:num w:numId="149">
    <w:abstractNumId w:val="148"/>
  </w:num>
  <w:num w:numId="151">
    <w:abstractNumId w:val="15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ru-RU" w:eastAsia="ru-RU" w:bidi="ru-RU"/>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ru-RU" w:eastAsia="ru-RU" w:bidi="ru-RU"/>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ru-RU" w:eastAsia="ru-RU" w:bidi="ru-RU"/>
    </w:rPr>
  </w:style>
  <w:style w:type="character" w:customStyle="1" w:styleId="CharStyle3">
    <w:name w:val="Сноска_"/>
    <w:basedOn w:val="DefaultParagraphFont"/>
    <w:link w:val="Style2"/>
    <w:rPr>
      <w:rFonts w:ascii="Times New Roman" w:eastAsia="Times New Roman" w:hAnsi="Times New Roman" w:cs="Times New Roman"/>
      <w:b w:val="0"/>
      <w:bCs w:val="0"/>
      <w:i w:val="0"/>
      <w:iCs w:val="0"/>
      <w:smallCaps w:val="0"/>
      <w:strike w:val="0"/>
      <w:sz w:val="28"/>
      <w:szCs w:val="28"/>
      <w:u w:val="none"/>
    </w:rPr>
  </w:style>
  <w:style w:type="character" w:customStyle="1" w:styleId="CharStyle5">
    <w:name w:val="Основной текст_"/>
    <w:basedOn w:val="DefaultParagraphFont"/>
    <w:link w:val="Style4"/>
    <w:rPr>
      <w:rFonts w:ascii="Times New Roman" w:eastAsia="Times New Roman" w:hAnsi="Times New Roman" w:cs="Times New Roman"/>
      <w:b w:val="0"/>
      <w:bCs w:val="0"/>
      <w:i w:val="0"/>
      <w:iCs w:val="0"/>
      <w:smallCaps w:val="0"/>
      <w:strike w:val="0"/>
      <w:sz w:val="28"/>
      <w:szCs w:val="28"/>
      <w:u w:val="none"/>
    </w:rPr>
  </w:style>
  <w:style w:type="character" w:customStyle="1" w:styleId="CharStyle7">
    <w:name w:val="Подпись к картинке_"/>
    <w:basedOn w:val="DefaultParagraphFont"/>
    <w:link w:val="Style6"/>
    <w:rPr>
      <w:rFonts w:ascii="Times New Roman" w:eastAsia="Times New Roman" w:hAnsi="Times New Roman" w:cs="Times New Roman"/>
      <w:b w:val="0"/>
      <w:bCs w:val="0"/>
      <w:i w:val="0"/>
      <w:iCs w:val="0"/>
      <w:smallCaps w:val="0"/>
      <w:strike w:val="0"/>
      <w:sz w:val="28"/>
      <w:szCs w:val="28"/>
      <w:u w:val="none"/>
    </w:rPr>
  </w:style>
  <w:style w:type="character" w:customStyle="1" w:styleId="CharStyle9">
    <w:name w:val="Основной текст (2)_"/>
    <w:basedOn w:val="DefaultParagraphFont"/>
    <w:link w:val="Style8"/>
    <w:rPr>
      <w:rFonts w:ascii="Times New Roman" w:eastAsia="Times New Roman" w:hAnsi="Times New Roman" w:cs="Times New Roman"/>
      <w:b/>
      <w:bCs/>
      <w:i w:val="0"/>
      <w:iCs w:val="0"/>
      <w:smallCaps w:val="0"/>
      <w:strike w:val="0"/>
      <w:sz w:val="42"/>
      <w:szCs w:val="42"/>
      <w:u w:val="none"/>
    </w:rPr>
  </w:style>
  <w:style w:type="character" w:customStyle="1" w:styleId="CharStyle11">
    <w:name w:val="Заголовок №1_"/>
    <w:basedOn w:val="DefaultParagraphFont"/>
    <w:link w:val="Style10"/>
    <w:rPr>
      <w:rFonts w:ascii="Times New Roman" w:eastAsia="Times New Roman" w:hAnsi="Times New Roman" w:cs="Times New Roman"/>
      <w:b/>
      <w:bCs/>
      <w:i w:val="0"/>
      <w:iCs w:val="0"/>
      <w:smallCaps w:val="0"/>
      <w:strike w:val="0"/>
      <w:sz w:val="60"/>
      <w:szCs w:val="60"/>
      <w:u w:val="none"/>
    </w:rPr>
  </w:style>
  <w:style w:type="character" w:customStyle="1" w:styleId="CharStyle13">
    <w:name w:val="Основной текст (3)_"/>
    <w:basedOn w:val="DefaultParagraphFont"/>
    <w:link w:val="Style12"/>
    <w:rPr>
      <w:rFonts w:ascii="Times New Roman" w:eastAsia="Times New Roman" w:hAnsi="Times New Roman" w:cs="Times New Roman"/>
      <w:b/>
      <w:bCs/>
      <w:i w:val="0"/>
      <w:iCs w:val="0"/>
      <w:smallCaps w:val="0"/>
      <w:strike w:val="0"/>
      <w:sz w:val="22"/>
      <w:szCs w:val="22"/>
      <w:u w:val="none"/>
    </w:rPr>
  </w:style>
  <w:style w:type="character" w:customStyle="1" w:styleId="CharStyle16">
    <w:name w:val="Колонтитул (2)_"/>
    <w:basedOn w:val="DefaultParagraphFont"/>
    <w:link w:val="Style15"/>
    <w:rPr>
      <w:rFonts w:ascii="Times New Roman" w:eastAsia="Times New Roman" w:hAnsi="Times New Roman" w:cs="Times New Roman"/>
      <w:b w:val="0"/>
      <w:bCs w:val="0"/>
      <w:i w:val="0"/>
      <w:iCs w:val="0"/>
      <w:smallCaps w:val="0"/>
      <w:strike w:val="0"/>
      <w:sz w:val="20"/>
      <w:szCs w:val="20"/>
      <w:u w:val="none"/>
    </w:rPr>
  </w:style>
  <w:style w:type="character" w:customStyle="1" w:styleId="CharStyle21">
    <w:name w:val="Колонтитул_"/>
    <w:basedOn w:val="DefaultParagraphFont"/>
    <w:link w:val="Style20"/>
    <w:rPr>
      <w:rFonts w:ascii="Times New Roman" w:eastAsia="Times New Roman" w:hAnsi="Times New Roman" w:cs="Times New Roman"/>
      <w:b w:val="0"/>
      <w:bCs w:val="0"/>
      <w:i w:val="0"/>
      <w:iCs w:val="0"/>
      <w:smallCaps w:val="0"/>
      <w:strike w:val="0"/>
      <w:sz w:val="28"/>
      <w:szCs w:val="28"/>
      <w:u w:val="none"/>
    </w:rPr>
  </w:style>
  <w:style w:type="character" w:customStyle="1" w:styleId="CharStyle24">
    <w:name w:val="Другое_"/>
    <w:basedOn w:val="DefaultParagraphFont"/>
    <w:link w:val="Style23"/>
    <w:rPr>
      <w:rFonts w:ascii="Times New Roman" w:eastAsia="Times New Roman" w:hAnsi="Times New Roman" w:cs="Times New Roman"/>
      <w:b w:val="0"/>
      <w:bCs w:val="0"/>
      <w:i w:val="0"/>
      <w:iCs w:val="0"/>
      <w:smallCaps w:val="0"/>
      <w:strike w:val="0"/>
      <w:sz w:val="28"/>
      <w:szCs w:val="28"/>
      <w:u w:val="none"/>
    </w:rPr>
  </w:style>
  <w:style w:type="paragraph" w:customStyle="1" w:styleId="Style2">
    <w:name w:val="Сноска"/>
    <w:basedOn w:val="Normal"/>
    <w:link w:val="CharStyle3"/>
    <w:pPr>
      <w:widowControl w:val="0"/>
      <w:shd w:val="clear" w:color="auto" w:fill="auto"/>
      <w:ind w:firstLine="720"/>
    </w:pPr>
    <w:rPr>
      <w:rFonts w:ascii="Times New Roman" w:eastAsia="Times New Roman" w:hAnsi="Times New Roman" w:cs="Times New Roman"/>
      <w:b w:val="0"/>
      <w:bCs w:val="0"/>
      <w:i w:val="0"/>
      <w:iCs w:val="0"/>
      <w:smallCaps w:val="0"/>
      <w:strike w:val="0"/>
      <w:sz w:val="28"/>
      <w:szCs w:val="28"/>
      <w:u w:val="none"/>
    </w:rPr>
  </w:style>
  <w:style w:type="paragraph" w:customStyle="1" w:styleId="Style4">
    <w:name w:val="Основной текст"/>
    <w:basedOn w:val="Normal"/>
    <w:link w:val="CharStyle5"/>
    <w:pPr>
      <w:widowControl w:val="0"/>
      <w:shd w:val="clear" w:color="auto" w:fill="auto"/>
      <w:ind w:firstLine="400"/>
    </w:pPr>
    <w:rPr>
      <w:rFonts w:ascii="Times New Roman" w:eastAsia="Times New Roman" w:hAnsi="Times New Roman" w:cs="Times New Roman"/>
      <w:b w:val="0"/>
      <w:bCs w:val="0"/>
      <w:i w:val="0"/>
      <w:iCs w:val="0"/>
      <w:smallCaps w:val="0"/>
      <w:strike w:val="0"/>
      <w:sz w:val="28"/>
      <w:szCs w:val="28"/>
      <w:u w:val="none"/>
    </w:rPr>
  </w:style>
  <w:style w:type="paragraph" w:customStyle="1" w:styleId="Style6">
    <w:name w:val="Подпись к картинке"/>
    <w:basedOn w:val="Normal"/>
    <w:link w:val="CharStyle7"/>
    <w:pPr>
      <w:widowControl w:val="0"/>
      <w:shd w:val="clear" w:color="auto" w:fill="auto"/>
    </w:pPr>
    <w:rPr>
      <w:rFonts w:ascii="Times New Roman" w:eastAsia="Times New Roman" w:hAnsi="Times New Roman" w:cs="Times New Roman"/>
      <w:b w:val="0"/>
      <w:bCs w:val="0"/>
      <w:i w:val="0"/>
      <w:iCs w:val="0"/>
      <w:smallCaps w:val="0"/>
      <w:strike w:val="0"/>
      <w:sz w:val="28"/>
      <w:szCs w:val="28"/>
      <w:u w:val="none"/>
    </w:rPr>
  </w:style>
  <w:style w:type="paragraph" w:customStyle="1" w:styleId="Style8">
    <w:name w:val="Основной текст (2)"/>
    <w:basedOn w:val="Normal"/>
    <w:link w:val="CharStyle9"/>
    <w:pPr>
      <w:widowControl w:val="0"/>
      <w:shd w:val="clear" w:color="auto" w:fill="auto"/>
      <w:spacing w:after="40"/>
      <w:jc w:val="center"/>
    </w:pPr>
    <w:rPr>
      <w:rFonts w:ascii="Times New Roman" w:eastAsia="Times New Roman" w:hAnsi="Times New Roman" w:cs="Times New Roman"/>
      <w:b/>
      <w:bCs/>
      <w:i w:val="0"/>
      <w:iCs w:val="0"/>
      <w:smallCaps w:val="0"/>
      <w:strike w:val="0"/>
      <w:sz w:val="42"/>
      <w:szCs w:val="42"/>
      <w:u w:val="none"/>
    </w:rPr>
  </w:style>
  <w:style w:type="paragraph" w:customStyle="1" w:styleId="Style10">
    <w:name w:val="Заголовок №1"/>
    <w:basedOn w:val="Normal"/>
    <w:link w:val="CharStyle11"/>
    <w:pPr>
      <w:widowControl w:val="0"/>
      <w:shd w:val="clear" w:color="auto" w:fill="auto"/>
      <w:spacing w:after="720"/>
      <w:jc w:val="center"/>
      <w:outlineLvl w:val="0"/>
    </w:pPr>
    <w:rPr>
      <w:rFonts w:ascii="Times New Roman" w:eastAsia="Times New Roman" w:hAnsi="Times New Roman" w:cs="Times New Roman"/>
      <w:b/>
      <w:bCs/>
      <w:i w:val="0"/>
      <w:iCs w:val="0"/>
      <w:smallCaps w:val="0"/>
      <w:strike w:val="0"/>
      <w:sz w:val="60"/>
      <w:szCs w:val="60"/>
      <w:u w:val="none"/>
    </w:rPr>
  </w:style>
  <w:style w:type="paragraph" w:customStyle="1" w:styleId="Style12">
    <w:name w:val="Основной текст (3)"/>
    <w:basedOn w:val="Normal"/>
    <w:link w:val="CharStyle13"/>
    <w:pPr>
      <w:widowControl w:val="0"/>
      <w:shd w:val="clear" w:color="auto" w:fill="auto"/>
      <w:spacing w:after="440"/>
      <w:jc w:val="center"/>
    </w:pPr>
    <w:rPr>
      <w:rFonts w:ascii="Times New Roman" w:eastAsia="Times New Roman" w:hAnsi="Times New Roman" w:cs="Times New Roman"/>
      <w:b/>
      <w:bCs/>
      <w:i w:val="0"/>
      <w:iCs w:val="0"/>
      <w:smallCaps w:val="0"/>
      <w:strike w:val="0"/>
      <w:sz w:val="22"/>
      <w:szCs w:val="22"/>
      <w:u w:val="none"/>
    </w:rPr>
  </w:style>
  <w:style w:type="paragraph" w:customStyle="1" w:styleId="Style15">
    <w:name w:val="Колонтитул (2)"/>
    <w:basedOn w:val="Normal"/>
    <w:link w:val="CharStyle16"/>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20">
    <w:name w:val="Колонтитул"/>
    <w:basedOn w:val="Normal"/>
    <w:link w:val="CharStyle21"/>
    <w:pPr>
      <w:widowControl w:val="0"/>
      <w:shd w:val="clear" w:color="auto" w:fill="auto"/>
    </w:pPr>
    <w:rPr>
      <w:rFonts w:ascii="Times New Roman" w:eastAsia="Times New Roman" w:hAnsi="Times New Roman" w:cs="Times New Roman"/>
      <w:b w:val="0"/>
      <w:bCs w:val="0"/>
      <w:i w:val="0"/>
      <w:iCs w:val="0"/>
      <w:smallCaps w:val="0"/>
      <w:strike w:val="0"/>
      <w:sz w:val="28"/>
      <w:szCs w:val="28"/>
      <w:u w:val="none"/>
    </w:rPr>
  </w:style>
  <w:style w:type="paragraph" w:customStyle="1" w:styleId="Style23">
    <w:name w:val="Другое"/>
    <w:basedOn w:val="Normal"/>
    <w:link w:val="CharStyle24"/>
    <w:pPr>
      <w:widowControl w:val="0"/>
      <w:shd w:val="clear" w:color="auto" w:fill="auto"/>
      <w:ind w:firstLine="400"/>
    </w:pPr>
    <w:rPr>
      <w:rFonts w:ascii="Times New Roman" w:eastAsia="Times New Roman" w:hAnsi="Times New Roman" w:cs="Times New Roman"/>
      <w:b w:val="0"/>
      <w:bCs w:val="0"/>
      <w:i w:val="0"/>
      <w:iCs w:val="0"/>
      <w:smallCaps w:val="0"/>
      <w:strike w:val="0"/>
      <w:sz w:val="28"/>
      <w:szCs w:val="28"/>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header" Target="header6.xml"/><Relationship Id="rId15" Type="http://schemas.openxmlformats.org/officeDocument/2006/relationships/header" Target="header7.xml"/><Relationship Id="rId16" Type="http://schemas.openxmlformats.org/officeDocument/2006/relationships/header" Target="header8.xml"/><Relationship Id="rId17" Type="http://schemas.openxmlformats.org/officeDocument/2006/relationships/header" Target="header9.xml"/><Relationship Id="rId18" Type="http://schemas.openxmlformats.org/officeDocument/2006/relationships/header" Target="header10.xml"/><Relationship Id="rId19" Type="http://schemas.openxmlformats.org/officeDocument/2006/relationships/header" Target="header11.xml"/><Relationship Id="rId20" Type="http://schemas.openxmlformats.org/officeDocument/2006/relationships/header" Target="header12.xml"/><Relationship Id="rId21" Type="http://schemas.openxmlformats.org/officeDocument/2006/relationships/header" Target="header13.xml"/><Relationship Id="rId22" Type="http://schemas.openxmlformats.org/officeDocument/2006/relationships/header" Target="header14.xml"/><Relationship Id="rId23" Type="http://schemas.openxmlformats.org/officeDocument/2006/relationships/header" Target="header15.xml"/><Relationship Id="rId24" Type="http://schemas.openxmlformats.org/officeDocument/2006/relationships/header" Target="header16.xml"/><Relationship Id="rId25" Type="http://schemas.openxmlformats.org/officeDocument/2006/relationships/header" Target="header17.xml"/><Relationship Id="rId26" Type="http://schemas.openxmlformats.org/officeDocument/2006/relationships/header" Target="header18.xml"/><Relationship Id="rId27" Type="http://schemas.openxmlformats.org/officeDocument/2006/relationships/header" Target="header19.xml"/><Relationship Id="rId28" Type="http://schemas.openxmlformats.org/officeDocument/2006/relationships/header" Target="header20.xml"/><Relationship Id="rId29" Type="http://schemas.openxmlformats.org/officeDocument/2006/relationships/header" Target="header21.xml"/><Relationship Id="rId30" Type="http://schemas.openxmlformats.org/officeDocument/2006/relationships/header" Target="header22.xml"/><Relationship Id="rId31" Type="http://schemas.openxmlformats.org/officeDocument/2006/relationships/header" Target="header23.xml"/><Relationship Id="rId32" Type="http://schemas.openxmlformats.org/officeDocument/2006/relationships/header" Target="header24.xml"/><Relationship Id="rId33" Type="http://schemas.openxmlformats.org/officeDocument/2006/relationships/header" Target="header25.xml"/><Relationship Id="rId34" Type="http://schemas.openxmlformats.org/officeDocument/2006/relationships/header" Target="header26.xml"/><Relationship Id="rId35" Type="http://schemas.openxmlformats.org/officeDocument/2006/relationships/header" Target="header27.xml"/><Relationship Id="rId36" Type="http://schemas.openxmlformats.org/officeDocument/2006/relationships/header" Target="header28.xml"/><Relationship Id="rId37" Type="http://schemas.openxmlformats.org/officeDocument/2006/relationships/header" Target="header29.xml"/><Relationship Id="rId38" Type="http://schemas.openxmlformats.org/officeDocument/2006/relationships/header" Target="header30.xml"/><Relationship Id="rId39" Type="http://schemas.openxmlformats.org/officeDocument/2006/relationships/header" Target="header31.xml"/><Relationship Id="rId40" Type="http://schemas.openxmlformats.org/officeDocument/2006/relationships/header" Target="header32.xml"/><Relationship Id="rId41" Type="http://schemas.openxmlformats.org/officeDocument/2006/relationships/header" Target="header33.xml"/><Relationship Id="rId42" Type="http://schemas.openxmlformats.org/officeDocument/2006/relationships/header" Target="header34.xml"/><Relationship Id="rId43" Type="http://schemas.openxmlformats.org/officeDocument/2006/relationships/header" Target="header35.xml"/><Relationship Id="rId44" Type="http://schemas.openxmlformats.org/officeDocument/2006/relationships/header" Target="header36.xml"/><Relationship Id="rId45" Type="http://schemas.openxmlformats.org/officeDocument/2006/relationships/header" Target="header37.xml"/><Relationship Id="rId46" Type="http://schemas.openxmlformats.org/officeDocument/2006/relationships/header" Target="header38.xml"/><Relationship Id="rId47" Type="http://schemas.openxmlformats.org/officeDocument/2006/relationships/header" Target="header39.xml"/></Relationships>
</file>